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592F48">
      <w:pPr>
        <w:pStyle w:val="17"/>
        <w:spacing w:line="360" w:lineRule="auto"/>
        <w:jc w:val="both"/>
        <w:rPr>
          <w:color w:val="auto"/>
          <w:sz w:val="28"/>
          <w:szCs w:val="28"/>
          <w:lang w:eastAsia="zh-CN"/>
        </w:rPr>
      </w:pPr>
      <w:r>
        <w:rPr>
          <w:color w:val="auto"/>
          <w:sz w:val="28"/>
          <w:szCs w:val="28"/>
          <w:lang w:eastAsia="zh-CN"/>
        </w:rPr>
        <w:t xml:space="preserve">20.64% Efficient and Stable Binary Organic Solar Cells via </w:t>
      </w:r>
      <w:bookmarkStart w:id="17" w:name="_GoBack"/>
      <w:bookmarkEnd w:id="17"/>
      <w:r>
        <w:rPr>
          <w:color w:val="auto"/>
          <w:sz w:val="28"/>
          <w:szCs w:val="28"/>
          <w:lang w:eastAsia="zh-CN"/>
        </w:rPr>
        <w:t>Thermodynamic-Engineered Interlayer Diffusion and Exciton Generation</w:t>
      </w:r>
    </w:p>
    <w:p w14:paraId="1E77D7F7">
      <w:pPr>
        <w:pStyle w:val="17"/>
        <w:spacing w:line="360" w:lineRule="auto"/>
        <w:jc w:val="both"/>
        <w:rPr>
          <w:b w:val="0"/>
          <w:bCs/>
          <w:color w:val="auto"/>
        </w:rPr>
      </w:pPr>
      <w:r>
        <w:rPr>
          <w:b w:val="0"/>
          <w:bCs/>
          <w:color w:val="auto"/>
        </w:rPr>
        <w:t>Kangbo Sun</w:t>
      </w:r>
      <w:r>
        <w:rPr>
          <w:b w:val="0"/>
          <w:bCs/>
          <w:color w:val="auto"/>
          <w:vertAlign w:val="superscript"/>
          <w:lang w:eastAsia="zh-CN"/>
        </w:rPr>
        <w:t>1,$</w:t>
      </w:r>
      <w:r>
        <w:rPr>
          <w:b w:val="0"/>
          <w:bCs/>
          <w:color w:val="auto"/>
        </w:rPr>
        <w:t>,</w:t>
      </w:r>
      <w:r>
        <w:rPr>
          <w:b w:val="0"/>
          <w:bCs/>
          <w:color w:val="auto"/>
          <w:lang w:eastAsia="zh-CN"/>
        </w:rPr>
        <w:t xml:space="preserve"> </w:t>
      </w:r>
      <w:r>
        <w:rPr>
          <w:b w:val="0"/>
          <w:bCs/>
          <w:color w:val="auto"/>
        </w:rPr>
        <w:t>Yufei Wang</w:t>
      </w:r>
      <w:r>
        <w:rPr>
          <w:b w:val="0"/>
          <w:bCs/>
          <w:color w:val="auto"/>
          <w:vertAlign w:val="superscript"/>
          <w:lang w:eastAsia="zh-CN"/>
        </w:rPr>
        <w:t>1,</w:t>
      </w:r>
      <w:r>
        <w:rPr>
          <w:b w:val="0"/>
          <w:bCs/>
          <w:color w:val="auto"/>
          <w:vertAlign w:val="superscript"/>
        </w:rPr>
        <w:t>*</w:t>
      </w:r>
      <w:r>
        <w:rPr>
          <w:b w:val="0"/>
          <w:bCs/>
          <w:color w:val="auto"/>
          <w:vertAlign w:val="superscript"/>
          <w:lang w:eastAsia="zh-CN"/>
        </w:rPr>
        <w:t>,$</w:t>
      </w:r>
      <w:r>
        <w:rPr>
          <w:b w:val="0"/>
          <w:bCs/>
          <w:color w:val="auto"/>
          <w:lang w:eastAsia="zh-CN"/>
        </w:rPr>
        <w:t>,</w:t>
      </w:r>
      <w:r>
        <w:rPr>
          <w:b w:val="0"/>
          <w:bCs/>
          <w:color w:val="auto"/>
          <w:vertAlign w:val="superscript"/>
          <w:lang w:eastAsia="zh-CN"/>
        </w:rPr>
        <w:t xml:space="preserve"> </w:t>
      </w:r>
      <w:r>
        <w:rPr>
          <w:b w:val="0"/>
          <w:bCs/>
          <w:color w:val="auto"/>
        </w:rPr>
        <w:t>Guangye Zhang</w:t>
      </w:r>
      <w:r>
        <w:rPr>
          <w:rFonts w:hint="eastAsia"/>
          <w:b w:val="0"/>
          <w:bCs/>
          <w:color w:val="auto"/>
          <w:vertAlign w:val="superscript"/>
          <w:lang w:eastAsia="zh-CN"/>
        </w:rPr>
        <w:t>1,</w:t>
      </w:r>
      <w:r>
        <w:rPr>
          <w:b w:val="0"/>
          <w:bCs/>
          <w:color w:val="auto"/>
          <w:vertAlign w:val="superscript"/>
        </w:rPr>
        <w:t>*</w:t>
      </w:r>
      <w:r>
        <w:rPr>
          <w:rFonts w:hint="eastAsia"/>
          <w:b w:val="0"/>
          <w:bCs/>
          <w:color w:val="auto"/>
          <w:vertAlign w:val="superscript"/>
          <w:lang w:eastAsia="zh-CN"/>
        </w:rPr>
        <w:t>,$</w:t>
      </w:r>
      <w:r>
        <w:rPr>
          <w:rFonts w:hint="eastAsia"/>
          <w:b w:val="0"/>
          <w:bCs/>
          <w:color w:val="auto"/>
          <w:lang w:eastAsia="zh-CN"/>
        </w:rPr>
        <w:t>,</w:t>
      </w:r>
      <w:r>
        <w:rPr>
          <w:rFonts w:hint="eastAsia"/>
          <w:b w:val="0"/>
          <w:bCs/>
          <w:color w:val="auto"/>
          <w:lang w:val="en-US" w:eastAsia="zh-CN"/>
        </w:rPr>
        <w:t xml:space="preserve"> </w:t>
      </w:r>
      <w:r>
        <w:rPr>
          <w:b w:val="0"/>
          <w:bCs/>
          <w:color w:val="auto"/>
        </w:rPr>
        <w:t>Chuanlin Gao</w:t>
      </w:r>
      <w:r>
        <w:rPr>
          <w:b w:val="0"/>
          <w:bCs/>
          <w:color w:val="auto"/>
          <w:vertAlign w:val="superscript"/>
          <w:lang w:eastAsia="zh-CN"/>
        </w:rPr>
        <w:t>1</w:t>
      </w:r>
      <w:r>
        <w:rPr>
          <w:b w:val="0"/>
          <w:bCs/>
          <w:color w:val="auto"/>
        </w:rPr>
        <w:t xml:space="preserve">, </w:t>
      </w:r>
      <w:r>
        <w:rPr>
          <w:b w:val="0"/>
          <w:bCs/>
          <w:color w:val="auto"/>
          <w:lang w:eastAsia="zh-CN"/>
        </w:rPr>
        <w:t>Xiwen Lin</w:t>
      </w:r>
      <w:r>
        <w:rPr>
          <w:rFonts w:hint="eastAsia"/>
          <w:b w:val="0"/>
          <w:bCs/>
          <w:color w:val="auto"/>
          <w:lang w:eastAsia="zh-CN"/>
        </w:rPr>
        <w:t>g</w:t>
      </w:r>
      <w:r>
        <w:rPr>
          <w:b w:val="0"/>
          <w:bCs/>
          <w:color w:val="auto"/>
          <w:vertAlign w:val="superscript"/>
          <w:lang w:eastAsia="zh-CN"/>
        </w:rPr>
        <w:t>1</w:t>
      </w:r>
      <w:r>
        <w:rPr>
          <w:b w:val="0"/>
          <w:bCs/>
          <w:color w:val="auto"/>
          <w:lang w:eastAsia="zh-CN"/>
        </w:rPr>
        <w:t xml:space="preserve">, </w:t>
      </w:r>
      <w:bookmarkStart w:id="0" w:name="_Hlk198454163"/>
      <w:r>
        <w:rPr>
          <w:rFonts w:hint="eastAsia"/>
          <w:b w:val="0"/>
          <w:bCs/>
          <w:color w:val="auto"/>
          <w:lang w:eastAsia="zh-CN"/>
        </w:rPr>
        <w:t>Jianan Zheng</w:t>
      </w:r>
      <w:r>
        <w:rPr>
          <w:rFonts w:hint="eastAsia"/>
          <w:b w:val="0"/>
          <w:bCs/>
          <w:color w:val="auto"/>
          <w:vertAlign w:val="superscript"/>
          <w:lang w:eastAsia="zh-CN"/>
        </w:rPr>
        <w:t>1</w:t>
      </w:r>
      <w:r>
        <w:rPr>
          <w:rFonts w:hint="eastAsia"/>
          <w:b w:val="0"/>
          <w:bCs/>
          <w:color w:val="auto"/>
          <w:lang w:eastAsia="zh-CN"/>
        </w:rPr>
        <w:t>, Jiaxu Che</w:t>
      </w:r>
      <w:r>
        <w:rPr>
          <w:rFonts w:hint="eastAsia"/>
          <w:b w:val="0"/>
          <w:bCs/>
          <w:color w:val="auto"/>
          <w:vertAlign w:val="superscript"/>
          <w:lang w:eastAsia="zh-CN"/>
        </w:rPr>
        <w:t>1</w:t>
      </w:r>
      <w:r>
        <w:rPr>
          <w:rFonts w:hint="eastAsia"/>
          <w:b w:val="0"/>
          <w:bCs/>
          <w:color w:val="auto"/>
          <w:lang w:eastAsia="zh-CN"/>
        </w:rPr>
        <w:t xml:space="preserve">, </w:t>
      </w:r>
      <w:bookmarkEnd w:id="0"/>
      <w:r>
        <w:rPr>
          <w:b w:val="0"/>
          <w:bCs/>
          <w:color w:val="auto"/>
          <w:lang w:eastAsia="zh-CN"/>
        </w:rPr>
        <w:t>Chen Xie</w:t>
      </w:r>
      <w:r>
        <w:rPr>
          <w:b w:val="0"/>
          <w:bCs/>
          <w:color w:val="auto"/>
          <w:vertAlign w:val="superscript"/>
          <w:lang w:eastAsia="zh-CN"/>
        </w:rPr>
        <w:t>1</w:t>
      </w:r>
      <w:r>
        <w:rPr>
          <w:b w:val="0"/>
          <w:bCs/>
          <w:color w:val="auto"/>
          <w:lang w:eastAsia="zh-CN"/>
        </w:rPr>
        <w:t>,  Zhibo Wang</w:t>
      </w:r>
      <w:r>
        <w:rPr>
          <w:b w:val="0"/>
          <w:bCs/>
          <w:color w:val="auto"/>
          <w:vertAlign w:val="superscript"/>
          <w:lang w:eastAsia="zh-CN"/>
        </w:rPr>
        <w:t>2</w:t>
      </w:r>
      <w:r>
        <w:rPr>
          <w:b w:val="0"/>
          <w:bCs/>
          <w:color w:val="auto"/>
          <w:lang w:eastAsia="zh-CN"/>
        </w:rPr>
        <w:t>, Huawei Hu</w:t>
      </w:r>
      <w:r>
        <w:rPr>
          <w:b w:val="0"/>
          <w:bCs/>
          <w:color w:val="auto"/>
          <w:vertAlign w:val="superscript"/>
          <w:lang w:eastAsia="zh-CN"/>
        </w:rPr>
        <w:t>2</w:t>
      </w:r>
      <w:r>
        <w:rPr>
          <w:b w:val="0"/>
          <w:bCs/>
          <w:color w:val="auto"/>
          <w:lang w:eastAsia="zh-CN"/>
        </w:rPr>
        <w:t>, Peng You</w:t>
      </w:r>
      <w:r>
        <w:rPr>
          <w:b w:val="0"/>
          <w:bCs/>
          <w:color w:val="auto"/>
          <w:vertAlign w:val="superscript"/>
          <w:lang w:eastAsia="zh-CN"/>
        </w:rPr>
        <w:t>1</w:t>
      </w:r>
      <w:r>
        <w:rPr>
          <w:b w:val="0"/>
          <w:bCs/>
          <w:color w:val="auto"/>
          <w:lang w:eastAsia="zh-CN"/>
        </w:rPr>
        <w:t>, Peigang Han</w:t>
      </w:r>
      <w:r>
        <w:rPr>
          <w:b w:val="0"/>
          <w:bCs/>
          <w:color w:val="auto"/>
          <w:vertAlign w:val="superscript"/>
          <w:lang w:eastAsia="zh-CN"/>
        </w:rPr>
        <w:t>1</w:t>
      </w:r>
      <w:r>
        <w:rPr>
          <w:b w:val="0"/>
          <w:bCs/>
          <w:color w:val="auto"/>
          <w:lang w:eastAsia="zh-CN"/>
        </w:rPr>
        <w:t xml:space="preserve">, </w:t>
      </w:r>
      <w:r>
        <w:rPr>
          <w:b w:val="0"/>
          <w:bCs/>
          <w:color w:val="auto"/>
        </w:rPr>
        <w:t>Shunpu Li</w:t>
      </w:r>
      <w:r>
        <w:rPr>
          <w:b w:val="0"/>
          <w:bCs/>
          <w:color w:val="auto"/>
          <w:vertAlign w:val="superscript"/>
          <w:lang w:eastAsia="zh-CN"/>
        </w:rPr>
        <w:t>1</w:t>
      </w:r>
      <w:r>
        <w:rPr>
          <w:rFonts w:hint="eastAsia"/>
          <w:b w:val="0"/>
          <w:bCs/>
          <w:color w:val="auto"/>
          <w:lang w:eastAsia="zh-CN"/>
        </w:rPr>
        <w:t>,</w:t>
      </w:r>
      <w:r>
        <w:rPr>
          <w:b w:val="0"/>
          <w:bCs/>
          <w:color w:val="auto"/>
        </w:rPr>
        <w:t xml:space="preserve"> and</w:t>
      </w:r>
      <w:r>
        <w:rPr>
          <w:rFonts w:hint="eastAsia"/>
          <w:b w:val="0"/>
          <w:bCs/>
          <w:color w:val="auto"/>
          <w:lang w:val="en-US" w:eastAsia="zh-CN"/>
        </w:rPr>
        <w:t xml:space="preserve"> </w:t>
      </w:r>
      <w:r>
        <w:rPr>
          <w:rFonts w:hint="eastAsia"/>
          <w:b w:val="0"/>
          <w:bCs/>
          <w:color w:val="auto"/>
          <w:lang w:eastAsia="zh-CN"/>
        </w:rPr>
        <w:t>Yiwang Chen</w:t>
      </w:r>
      <w:r>
        <w:rPr>
          <w:rFonts w:hint="eastAsia"/>
          <w:b w:val="0"/>
          <w:bCs/>
          <w:color w:val="auto"/>
          <w:vertAlign w:val="superscript"/>
          <w:lang w:eastAsia="zh-CN"/>
        </w:rPr>
        <w:t>3*</w:t>
      </w:r>
    </w:p>
    <w:p w14:paraId="76A4ED67">
      <w:pPr>
        <w:spacing w:line="360" w:lineRule="auto"/>
        <w:rPr>
          <w:rFonts w:ascii="Times New Roman" w:hAnsi="Times New Roman" w:cs="Times New Roman"/>
          <w:b/>
          <w:color w:val="auto"/>
          <w:sz w:val="24"/>
          <w:szCs w:val="24"/>
        </w:rPr>
      </w:pPr>
      <w:r>
        <w:rPr>
          <w:rFonts w:ascii="Times New Roman" w:hAnsi="Times New Roman" w:cs="Times New Roman"/>
          <w:color w:val="auto"/>
          <w:sz w:val="24"/>
          <w:szCs w:val="24"/>
          <w:vertAlign w:val="superscript"/>
        </w:rPr>
        <w:t>1</w:t>
      </w:r>
      <w:r>
        <w:rPr>
          <w:rFonts w:ascii="Times New Roman" w:hAnsi="Times New Roman" w:cs="Times New Roman"/>
          <w:color w:val="auto"/>
          <w:sz w:val="24"/>
          <w:szCs w:val="24"/>
        </w:rPr>
        <w:t xml:space="preserve"> </w:t>
      </w:r>
      <w:bookmarkStart w:id="1" w:name="_Hlk164760149"/>
      <w:r>
        <w:rPr>
          <w:rFonts w:ascii="Times New Roman" w:hAnsi="Times New Roman" w:cs="Times New Roman"/>
          <w:color w:val="auto"/>
          <w:sz w:val="24"/>
          <w:szCs w:val="24"/>
        </w:rPr>
        <w:t>College of New Materials and New Energies</w:t>
      </w:r>
      <w:bookmarkEnd w:id="1"/>
      <w:r>
        <w:rPr>
          <w:rFonts w:ascii="Times New Roman" w:hAnsi="Times New Roman" w:cs="Times New Roman"/>
          <w:color w:val="auto"/>
          <w:sz w:val="24"/>
          <w:szCs w:val="24"/>
        </w:rPr>
        <w:t xml:space="preserve">, </w:t>
      </w:r>
      <w:bookmarkStart w:id="2" w:name="_Hlk164759472"/>
      <w:r>
        <w:rPr>
          <w:rFonts w:ascii="Times New Roman" w:hAnsi="Times New Roman" w:cs="Times New Roman"/>
          <w:color w:val="auto"/>
          <w:sz w:val="24"/>
          <w:szCs w:val="24"/>
        </w:rPr>
        <w:t>Shenzhen Technology University</w:t>
      </w:r>
      <w:bookmarkEnd w:id="2"/>
      <w:r>
        <w:rPr>
          <w:rFonts w:ascii="Times New Roman" w:hAnsi="Times New Roman" w:cs="Times New Roman"/>
          <w:color w:val="auto"/>
          <w:sz w:val="24"/>
          <w:szCs w:val="24"/>
        </w:rPr>
        <w:t>, Shenzhen, China</w:t>
      </w:r>
    </w:p>
    <w:p w14:paraId="30347DFB">
      <w:pPr>
        <w:spacing w:before="240" w:line="360" w:lineRule="auto"/>
        <w:rPr>
          <w:rFonts w:ascii="Times New Roman" w:hAnsi="Times New Roman" w:cs="Times New Roman"/>
          <w:color w:val="auto"/>
          <w:sz w:val="24"/>
          <w:szCs w:val="24"/>
        </w:rPr>
      </w:pPr>
      <w:r>
        <w:rPr>
          <w:rFonts w:ascii="Times New Roman" w:hAnsi="Times New Roman" w:cs="Times New Roman"/>
          <w:color w:val="auto"/>
          <w:sz w:val="24"/>
          <w:szCs w:val="24"/>
          <w:vertAlign w:val="superscript"/>
        </w:rPr>
        <w:t>2</w:t>
      </w:r>
      <w:r>
        <w:rPr>
          <w:rFonts w:ascii="Times New Roman" w:hAnsi="Times New Roman" w:cs="Times New Roman"/>
          <w:color w:val="auto"/>
          <w:sz w:val="24"/>
          <w:szCs w:val="24"/>
        </w:rPr>
        <w:t xml:space="preserve"> State Key Laboratory for Modiﬁcation of Chemical Fibers and Polymer Materials, College of Materials Science and Engineering, Donghua University, Shanghai, China</w:t>
      </w:r>
    </w:p>
    <w:p w14:paraId="46F554C1">
      <w:pPr>
        <w:spacing w:before="240" w:after="0" w:line="360" w:lineRule="auto"/>
        <w:jc w:val="both"/>
        <w:rPr>
          <w:rFonts w:hint="default" w:ascii="Times New Roman" w:hAnsi="Times New Roman" w:cs="Times New Roman"/>
          <w:color w:val="auto"/>
          <w:sz w:val="24"/>
          <w:szCs w:val="32"/>
          <w:vertAlign w:val="superscript"/>
          <w:lang w:eastAsia="zh-CN"/>
        </w:rPr>
      </w:pPr>
      <w:r>
        <w:rPr>
          <w:rFonts w:hint="default" w:ascii="Times New Roman" w:hAnsi="Times New Roman" w:cs="Times New Roman"/>
          <w:color w:val="auto"/>
          <w:sz w:val="24"/>
          <w:szCs w:val="32"/>
          <w:vertAlign w:val="superscript"/>
          <w:lang w:eastAsia="zh-CN"/>
        </w:rPr>
        <w:t xml:space="preserve">3 </w:t>
      </w:r>
      <w:r>
        <w:rPr>
          <w:rFonts w:hint="default" w:ascii="Times New Roman" w:hAnsi="Times New Roman" w:cs="Times New Roman"/>
          <w:color w:val="auto"/>
          <w:sz w:val="24"/>
          <w:szCs w:val="32"/>
          <w:lang w:eastAsia="zh-CN"/>
        </w:rPr>
        <w:t>College of Chemistry and Chemical Engineering/Institute of Polymers and Energy Chemistry, Nanchang University, Nanchang, China</w:t>
      </w:r>
    </w:p>
    <w:p w14:paraId="68D1DFDF">
      <w:pPr>
        <w:spacing w:before="240" w:line="360" w:lineRule="auto"/>
        <w:rPr>
          <w:rFonts w:ascii="Times New Roman" w:hAnsi="Times New Roman" w:cs="Times New Roman"/>
          <w:color w:val="auto"/>
          <w:sz w:val="24"/>
          <w:szCs w:val="24"/>
        </w:rPr>
      </w:pPr>
      <w:r>
        <w:rPr>
          <w:rFonts w:ascii="Times New Roman" w:hAnsi="Times New Roman" w:cs="Times New Roman"/>
          <w:color w:val="auto"/>
          <w:sz w:val="24"/>
          <w:szCs w:val="24"/>
          <w:vertAlign w:val="superscript"/>
        </w:rPr>
        <w:t>$</w:t>
      </w:r>
      <w:r>
        <w:rPr>
          <w:rFonts w:ascii="Times New Roman" w:hAnsi="Times New Roman" w:cs="Times New Roman"/>
          <w:color w:val="auto"/>
          <w:sz w:val="24"/>
          <w:szCs w:val="24"/>
        </w:rPr>
        <w:t xml:space="preserve"> These authors contribute equally in this paper.</w:t>
      </w:r>
    </w:p>
    <w:p w14:paraId="5686581C">
      <w:pPr>
        <w:spacing w:before="240" w:line="360" w:lineRule="auto"/>
        <w:rPr>
          <w:rFonts w:ascii="Times New Roman" w:hAnsi="Times New Roman" w:cs="Times New Roman"/>
          <w:b/>
          <w:color w:val="auto"/>
          <w:sz w:val="24"/>
          <w:szCs w:val="24"/>
        </w:rPr>
      </w:pPr>
      <w:r>
        <w:rPr>
          <w:rFonts w:ascii="Times New Roman" w:hAnsi="Times New Roman" w:cs="Times New Roman"/>
          <w:b/>
          <w:color w:val="auto"/>
          <w:sz w:val="24"/>
          <w:szCs w:val="24"/>
        </w:rPr>
        <w:t xml:space="preserve">* Correspondence: </w:t>
      </w:r>
    </w:p>
    <w:p w14:paraId="7AEF0BCD">
      <w:pPr>
        <w:spacing w:before="240" w:line="360" w:lineRule="auto"/>
        <w:rPr>
          <w:rFonts w:ascii="Times New Roman" w:hAnsi="Times New Roman" w:cs="Times New Roman"/>
          <w:color w:val="auto"/>
          <w:sz w:val="24"/>
          <w:szCs w:val="24"/>
        </w:rPr>
      </w:pPr>
      <w:r>
        <w:rPr>
          <w:rFonts w:ascii="Times New Roman" w:hAnsi="Times New Roman" w:cs="Times New Roman"/>
          <w:color w:val="auto"/>
          <w:sz w:val="24"/>
          <w:szCs w:val="24"/>
        </w:rPr>
        <w:t>Yufei Wang</w:t>
      </w:r>
    </w:p>
    <w:p w14:paraId="3FA4AB50">
      <w:pPr>
        <w:spacing w:line="360" w:lineRule="auto"/>
        <w:rPr>
          <w:rStyle w:val="12"/>
          <w:rFonts w:ascii="Times New Roman" w:hAnsi="Times New Roman" w:eastAsia="宋体" w:cs="Times New Roman"/>
          <w:color w:val="auto"/>
          <w:sz w:val="24"/>
          <w:szCs w:val="24"/>
        </w:rPr>
      </w:pPr>
      <w:r>
        <w:rPr>
          <w:rStyle w:val="12"/>
          <w:rFonts w:ascii="Times New Roman" w:hAnsi="Times New Roman" w:eastAsia="宋体" w:cs="Times New Roman"/>
          <w:color w:val="auto"/>
          <w:sz w:val="24"/>
          <w:szCs w:val="24"/>
        </w:rPr>
        <w:t>wangyufei@sztu.edu.cn</w:t>
      </w:r>
    </w:p>
    <w:p w14:paraId="2B4CEF02">
      <w:pPr>
        <w:spacing w:before="240" w:line="360" w:lineRule="auto"/>
        <w:rPr>
          <w:rFonts w:ascii="Times New Roman" w:hAnsi="Times New Roman" w:cs="Times New Roman"/>
          <w:color w:val="auto"/>
          <w:sz w:val="24"/>
          <w:szCs w:val="24"/>
        </w:rPr>
      </w:pPr>
      <w:r>
        <w:rPr>
          <w:rFonts w:ascii="Times New Roman" w:hAnsi="Times New Roman" w:cs="Times New Roman"/>
          <w:color w:val="auto"/>
          <w:sz w:val="24"/>
          <w:szCs w:val="24"/>
        </w:rPr>
        <w:t>Guangye Zhang</w:t>
      </w:r>
    </w:p>
    <w:p w14:paraId="4179FC7D">
      <w:pPr>
        <w:spacing w:before="240" w:line="360" w:lineRule="auto"/>
        <w:rPr>
          <w:rFonts w:ascii="Times New Roman" w:hAnsi="Times New Roman" w:cs="Times New Roman"/>
          <w:color w:val="auto"/>
          <w:sz w:val="24"/>
          <w:szCs w:val="24"/>
        </w:rPr>
      </w:pPr>
      <w:r>
        <w:rPr>
          <w:rStyle w:val="12"/>
          <w:rFonts w:ascii="Times New Roman" w:hAnsi="Times New Roman" w:eastAsia="宋体" w:cs="Times New Roman"/>
          <w:color w:val="auto"/>
          <w:sz w:val="24"/>
          <w:szCs w:val="24"/>
        </w:rPr>
        <w:t>zhangguangye@sztu.edu.cn</w:t>
      </w:r>
    </w:p>
    <w:p w14:paraId="05F806F6">
      <w:pPr>
        <w:spacing w:before="240" w:after="0" w:line="360" w:lineRule="auto"/>
        <w:rPr>
          <w:rFonts w:hint="default" w:ascii="Times New Roman" w:hAnsi="Times New Roman" w:cs="Times New Roman"/>
          <w:color w:val="auto"/>
          <w:sz w:val="24"/>
          <w:szCs w:val="28"/>
          <w:lang w:eastAsia="zh-CN"/>
        </w:rPr>
      </w:pPr>
      <w:r>
        <w:rPr>
          <w:rFonts w:hint="default" w:ascii="Times New Roman" w:hAnsi="Times New Roman" w:cs="Times New Roman"/>
          <w:color w:val="auto"/>
          <w:sz w:val="24"/>
          <w:szCs w:val="28"/>
          <w:lang w:eastAsia="zh-CN"/>
        </w:rPr>
        <w:t>Yiwang Chen</w:t>
      </w:r>
    </w:p>
    <w:p w14:paraId="42C54617">
      <w:pPr>
        <w:spacing w:before="0" w:after="0" w:line="360" w:lineRule="auto"/>
        <w:rPr>
          <w:rStyle w:val="12"/>
          <w:rFonts w:hint="default" w:ascii="Times New Roman" w:hAnsi="Times New Roman" w:eastAsia="宋体" w:cs="Times New Roman"/>
          <w:color w:val="auto"/>
          <w:kern w:val="2"/>
          <w:sz w:val="24"/>
          <w:szCs w:val="32"/>
          <w:lang w:eastAsia="zh-CN"/>
        </w:rPr>
      </w:pPr>
      <w:r>
        <w:rPr>
          <w:rStyle w:val="12"/>
          <w:rFonts w:hint="default" w:ascii="Times New Roman" w:hAnsi="Times New Roman" w:eastAsia="宋体" w:cs="Times New Roman"/>
          <w:color w:val="auto"/>
          <w:kern w:val="2"/>
          <w:sz w:val="24"/>
          <w:szCs w:val="32"/>
          <w:lang w:eastAsia="zh-CN"/>
        </w:rPr>
        <w:t>ywchen@ncu.edu.cn</w:t>
      </w:r>
    </w:p>
    <w:p w14:paraId="20C2AE76">
      <w:pPr>
        <w:pStyle w:val="17"/>
        <w:spacing w:line="360" w:lineRule="auto"/>
        <w:jc w:val="both"/>
        <w:rPr>
          <w:color w:val="auto"/>
        </w:rPr>
      </w:pPr>
      <w:r>
        <w:rPr>
          <w:color w:val="auto"/>
        </w:rPr>
        <w:t xml:space="preserve">Keywords: </w:t>
      </w:r>
      <w:r>
        <w:rPr>
          <w:rFonts w:hint="eastAsia"/>
          <w:color w:val="auto"/>
          <w:lang w:eastAsia="zh-CN"/>
        </w:rPr>
        <w:t>organic</w:t>
      </w:r>
      <w:r>
        <w:rPr>
          <w:color w:val="auto"/>
        </w:rPr>
        <w:t xml:space="preserve"> solar cells, </w:t>
      </w:r>
      <w:r>
        <w:rPr>
          <w:color w:val="auto"/>
          <w:lang w:eastAsia="zh-CN"/>
        </w:rPr>
        <w:t>device engineering</w:t>
      </w:r>
      <w:r>
        <w:rPr>
          <w:color w:val="auto"/>
        </w:rPr>
        <w:t xml:space="preserve">, </w:t>
      </w:r>
      <w:r>
        <w:rPr>
          <w:rFonts w:hint="eastAsia"/>
          <w:color w:val="auto"/>
          <w:lang w:eastAsia="zh-CN"/>
        </w:rPr>
        <w:t>i</w:t>
      </w:r>
      <w:r>
        <w:rPr>
          <w:color w:val="auto"/>
          <w:lang w:eastAsia="zh-CN"/>
        </w:rPr>
        <w:t xml:space="preserve">nterlayer </w:t>
      </w:r>
      <w:r>
        <w:rPr>
          <w:rFonts w:hint="eastAsia"/>
          <w:color w:val="auto"/>
          <w:lang w:eastAsia="zh-CN"/>
        </w:rPr>
        <w:t>d</w:t>
      </w:r>
      <w:r>
        <w:rPr>
          <w:color w:val="auto"/>
          <w:lang w:eastAsia="zh-CN"/>
        </w:rPr>
        <w:t>iffusion</w:t>
      </w:r>
      <w:r>
        <w:rPr>
          <w:rFonts w:hint="eastAsia"/>
          <w:color w:val="auto"/>
          <w:lang w:eastAsia="zh-CN"/>
        </w:rPr>
        <w:t xml:space="preserve">, sequential </w:t>
      </w:r>
      <w:r>
        <w:rPr>
          <w:color w:val="auto"/>
          <w:lang w:eastAsia="zh-CN"/>
        </w:rPr>
        <w:t>processing</w:t>
      </w:r>
      <w:r>
        <w:rPr>
          <w:rFonts w:hint="eastAsia"/>
          <w:color w:val="auto"/>
          <w:lang w:eastAsia="zh-CN"/>
        </w:rPr>
        <w:t>, n</w:t>
      </w:r>
      <w:r>
        <w:rPr>
          <w:color w:val="auto"/>
          <w:lang w:eastAsia="zh-CN"/>
        </w:rPr>
        <w:t>on</w:t>
      </w:r>
      <w:r>
        <w:rPr>
          <w:rFonts w:hint="eastAsia"/>
          <w:color w:val="auto"/>
          <w:lang w:eastAsia="zh-CN"/>
        </w:rPr>
        <w:t>-</w:t>
      </w:r>
      <w:r>
        <w:rPr>
          <w:color w:val="auto"/>
          <w:lang w:eastAsia="zh-CN"/>
        </w:rPr>
        <w:t>radiative recombination</w:t>
      </w:r>
      <w:r>
        <w:rPr>
          <w:color w:val="auto"/>
        </w:rPr>
        <w:t>.</w:t>
      </w:r>
    </w:p>
    <w:p w14:paraId="0EE312BC">
      <w:pPr>
        <w:spacing w:line="360" w:lineRule="auto"/>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t>Materials</w:t>
      </w:r>
    </w:p>
    <w:p w14:paraId="38526F05">
      <w:pPr>
        <w:widowControl/>
        <w:adjustRightInd w:val="0"/>
        <w:snapToGrid w:val="0"/>
        <w:spacing w:line="360" w:lineRule="auto"/>
        <w:rPr>
          <w:rFonts w:ascii="Times New Roman" w:hAnsi="Times New Roman" w:cs="Times New Roman"/>
          <w:snapToGrid w:val="0"/>
          <w:color w:val="auto"/>
          <w:kern w:val="0"/>
          <w:sz w:val="24"/>
          <w:szCs w:val="24"/>
          <w:lang w:bidi="en-US"/>
        </w:rPr>
      </w:pPr>
      <w:bookmarkStart w:id="3" w:name="_Hlk111138929"/>
      <w:r>
        <w:rPr>
          <w:rFonts w:hint="eastAsia" w:ascii="Times New Roman" w:hAnsi="Times New Roman" w:cs="Times New Roman"/>
          <w:snapToGrid w:val="0"/>
          <w:color w:val="auto"/>
          <w:kern w:val="0"/>
          <w:sz w:val="24"/>
          <w:szCs w:val="24"/>
          <w:lang w:bidi="en-US"/>
        </w:rPr>
        <w:t xml:space="preserve">D18 </w:t>
      </w:r>
      <w:r>
        <w:rPr>
          <w:rFonts w:ascii="Times New Roman" w:hAnsi="Times New Roman" w:eastAsia="Times New Roman" w:cs="Times New Roman"/>
          <w:snapToGrid w:val="0"/>
          <w:color w:val="auto"/>
          <w:kern w:val="0"/>
          <w:sz w:val="24"/>
          <w:szCs w:val="24"/>
          <w:lang w:eastAsia="de-DE" w:bidi="en-US"/>
        </w:rPr>
        <w:t>was purchased from</w:t>
      </w:r>
      <w:r>
        <w:rPr>
          <w:rFonts w:hint="eastAsia"/>
          <w:color w:val="auto"/>
        </w:rPr>
        <w:t xml:space="preserve"> </w:t>
      </w:r>
      <w:r>
        <w:rPr>
          <w:rFonts w:hint="eastAsia" w:ascii="Times New Roman" w:hAnsi="Times New Roman" w:eastAsia="Times New Roman" w:cs="Times New Roman"/>
          <w:snapToGrid w:val="0"/>
          <w:color w:val="auto"/>
          <w:kern w:val="0"/>
          <w:sz w:val="24"/>
          <w:szCs w:val="24"/>
          <w:lang w:eastAsia="de-DE" w:bidi="en-US"/>
        </w:rPr>
        <w:t>Hyper, Inc</w:t>
      </w:r>
      <w:r>
        <w:rPr>
          <w:rFonts w:ascii="Times New Roman" w:hAnsi="Times New Roman" w:eastAsia="Times New Roman" w:cs="Times New Roman"/>
          <w:snapToGrid w:val="0"/>
          <w:color w:val="auto"/>
          <w:kern w:val="0"/>
          <w:sz w:val="24"/>
          <w:szCs w:val="24"/>
          <w:lang w:eastAsia="de-DE" w:bidi="en-US"/>
        </w:rPr>
        <w:t>.</w:t>
      </w:r>
      <w:r>
        <w:rPr>
          <w:rFonts w:hint="eastAsia" w:ascii="Times New Roman" w:hAnsi="Times New Roman" w:cs="Times New Roman"/>
          <w:snapToGrid w:val="0"/>
          <w:color w:val="auto"/>
          <w:kern w:val="0"/>
          <w:sz w:val="24"/>
          <w:szCs w:val="24"/>
          <w:lang w:bidi="en-US"/>
        </w:rPr>
        <w:t xml:space="preserve"> </w:t>
      </w:r>
      <w:r>
        <w:rPr>
          <w:rFonts w:ascii="Times New Roman" w:hAnsi="Times New Roman" w:cs="Times New Roman"/>
          <w:snapToGrid w:val="0"/>
          <w:color w:val="auto"/>
          <w:kern w:val="0"/>
          <w:sz w:val="24"/>
          <w:szCs w:val="24"/>
          <w:lang w:bidi="en-US"/>
        </w:rPr>
        <w:t>eC9</w:t>
      </w:r>
      <w:r>
        <w:rPr>
          <w:rFonts w:hint="eastAsia" w:ascii="Times New Roman" w:hAnsi="Times New Roman" w:cs="Times New Roman"/>
          <w:snapToGrid w:val="0"/>
          <w:color w:val="auto"/>
          <w:kern w:val="0"/>
          <w:sz w:val="24"/>
          <w:szCs w:val="24"/>
          <w:lang w:bidi="en-US"/>
        </w:rPr>
        <w:t xml:space="preserve">, </w:t>
      </w:r>
      <w:r>
        <w:rPr>
          <w:rFonts w:ascii="Times New Roman" w:hAnsi="Times New Roman" w:cs="Times New Roman"/>
          <w:snapToGrid w:val="0"/>
          <w:color w:val="auto"/>
          <w:kern w:val="0"/>
          <w:sz w:val="24"/>
          <w:szCs w:val="24"/>
          <w:lang w:bidi="en-US"/>
        </w:rPr>
        <w:t>eC9</w:t>
      </w:r>
      <w:r>
        <w:rPr>
          <w:rFonts w:hint="eastAsia" w:ascii="Times New Roman" w:hAnsi="Times New Roman" w:cs="Times New Roman"/>
          <w:snapToGrid w:val="0"/>
          <w:color w:val="auto"/>
          <w:kern w:val="0"/>
          <w:sz w:val="24"/>
          <w:szCs w:val="24"/>
          <w:lang w:bidi="en-US"/>
        </w:rPr>
        <w:t>-4F, L8-BO</w:t>
      </w:r>
      <w:r>
        <w:rPr>
          <w:rFonts w:ascii="Times New Roman" w:hAnsi="Times New Roman" w:eastAsia="Times New Roman" w:cs="Times New Roman"/>
          <w:snapToGrid w:val="0"/>
          <w:color w:val="auto"/>
          <w:kern w:val="0"/>
          <w:sz w:val="24"/>
          <w:szCs w:val="24"/>
          <w:lang w:eastAsia="de-DE" w:bidi="en-US"/>
        </w:rPr>
        <w:t xml:space="preserve"> and PNDIT-F3N were purchased from eFlexPV Limited. </w:t>
      </w:r>
      <w:r>
        <w:rPr>
          <w:rFonts w:ascii="Times New Roman" w:hAnsi="Times New Roman" w:cs="Times New Roman"/>
          <w:snapToGrid w:val="0"/>
          <w:color w:val="auto"/>
          <w:kern w:val="0"/>
          <w:sz w:val="24"/>
          <w:szCs w:val="24"/>
          <w:lang w:bidi="en-US"/>
        </w:rPr>
        <w:t>2PACZ</w:t>
      </w:r>
      <w:r>
        <w:rPr>
          <w:rFonts w:ascii="Times New Roman" w:hAnsi="Times New Roman" w:eastAsia="Times New Roman" w:cs="Times New Roman"/>
          <w:snapToGrid w:val="0"/>
          <w:color w:val="auto"/>
          <w:kern w:val="0"/>
          <w:sz w:val="24"/>
          <w:szCs w:val="24"/>
          <w:lang w:eastAsia="de-DE" w:bidi="en-US"/>
        </w:rPr>
        <w:t xml:space="preserve"> </w:t>
      </w:r>
      <w:r>
        <w:rPr>
          <w:rFonts w:ascii="Times New Roman" w:hAnsi="Times New Roman" w:cs="Times New Roman"/>
          <w:snapToGrid w:val="0"/>
          <w:color w:val="auto"/>
          <w:kern w:val="0"/>
          <w:sz w:val="24"/>
          <w:szCs w:val="24"/>
          <w:lang w:bidi="en-US"/>
        </w:rPr>
        <w:t xml:space="preserve">was acquired from the TCI. </w:t>
      </w:r>
      <w:r>
        <w:rPr>
          <w:rFonts w:ascii="Times New Roman" w:hAnsi="Times New Roman" w:eastAsia="Times New Roman" w:cs="Times New Roman"/>
          <w:snapToGrid w:val="0"/>
          <w:color w:val="auto"/>
          <w:kern w:val="0"/>
          <w:sz w:val="24"/>
          <w:szCs w:val="24"/>
          <w:lang w:eastAsia="de-DE" w:bidi="en-US"/>
        </w:rPr>
        <w:t>All the other reagents and chemicals were purchased from Sigma Aldrich or Aladdin and used as received.</w:t>
      </w:r>
      <w:bookmarkEnd w:id="3"/>
    </w:p>
    <w:p w14:paraId="4D79D98C">
      <w:pPr>
        <w:widowControl/>
        <w:adjustRightInd w:val="0"/>
        <w:snapToGrid w:val="0"/>
        <w:spacing w:line="360" w:lineRule="auto"/>
        <w:rPr>
          <w:rFonts w:ascii="Times New Roman" w:hAnsi="Times New Roman" w:cs="Times New Roman"/>
          <w:snapToGrid w:val="0"/>
          <w:color w:val="auto"/>
          <w:kern w:val="0"/>
          <w:sz w:val="24"/>
          <w:szCs w:val="24"/>
          <w:lang w:bidi="en-US"/>
        </w:rPr>
      </w:pPr>
    </w:p>
    <w:p w14:paraId="569BBBAE">
      <w:pPr>
        <w:spacing w:line="360" w:lineRule="auto"/>
        <w:rPr>
          <w:rFonts w:ascii="Times New Roman" w:hAnsi="Times New Roman" w:cs="Times New Roman"/>
          <w:color w:val="auto"/>
          <w:sz w:val="24"/>
          <w:szCs w:val="24"/>
        </w:rPr>
      </w:pPr>
      <w:r>
        <w:rPr>
          <w:rFonts w:ascii="Times New Roman" w:hAnsi="Times New Roman" w:eastAsia="Times New Roman" w:cs="Times New Roman"/>
          <w:b/>
          <w:bCs/>
          <w:snapToGrid w:val="0"/>
          <w:color w:val="auto"/>
          <w:kern w:val="0"/>
          <w:sz w:val="24"/>
          <w:szCs w:val="24"/>
          <w:lang w:eastAsia="de-DE" w:bidi="en-US"/>
        </w:rPr>
        <w:t xml:space="preserve">Device Fabrication. </w:t>
      </w:r>
      <w:bookmarkStart w:id="4" w:name="_Hlk169118860"/>
      <w:r>
        <w:rPr>
          <w:rFonts w:ascii="Times New Roman" w:hAnsi="Times New Roman" w:eastAsia="Times New Roman" w:cs="Times New Roman"/>
          <w:snapToGrid w:val="0"/>
          <w:color w:val="auto"/>
          <w:kern w:val="0"/>
          <w:sz w:val="24"/>
          <w:szCs w:val="24"/>
          <w:lang w:eastAsia="de-DE" w:bidi="en-US"/>
        </w:rPr>
        <w:t>Organic solar cells (OSCs) with the structure of ITO/2PACz or PEDOT:PSS/</w:t>
      </w:r>
      <w:r>
        <w:rPr>
          <w:rFonts w:hint="eastAsia" w:ascii="Times New Roman" w:hAnsi="Times New Roman" w:cs="Times New Roman"/>
          <w:snapToGrid w:val="0"/>
          <w:color w:val="auto"/>
          <w:kern w:val="0"/>
          <w:sz w:val="24"/>
          <w:szCs w:val="24"/>
          <w:lang w:bidi="en-US"/>
        </w:rPr>
        <w:t>D18/acceptor</w:t>
      </w:r>
      <w:r>
        <w:rPr>
          <w:rFonts w:ascii="Times New Roman" w:hAnsi="Times New Roman" w:eastAsia="Times New Roman" w:cs="Times New Roman"/>
          <w:snapToGrid w:val="0"/>
          <w:color w:val="auto"/>
          <w:kern w:val="0"/>
          <w:sz w:val="24"/>
          <w:szCs w:val="24"/>
          <w:lang w:eastAsia="de-DE" w:bidi="en-US"/>
        </w:rPr>
        <w:t>/PNDIT-F3N/Ag were fabricated. Indium tin oxide (ITO) glass substrates were sequentially cleaned with detergent, deionized water, and isopropanol, followed by drying in an oven.</w:t>
      </w:r>
      <w:r>
        <w:rPr>
          <w:rFonts w:ascii="Times New Roman" w:hAnsi="Times New Roman" w:cs="Times New Roman"/>
          <w:color w:val="auto"/>
          <w:sz w:val="24"/>
          <w:szCs w:val="24"/>
        </w:rPr>
        <w:t xml:space="preserve"> </w:t>
      </w:r>
      <w:r>
        <w:rPr>
          <w:rFonts w:ascii="Times New Roman" w:hAnsi="Times New Roman" w:eastAsia="Times New Roman" w:cs="Times New Roman"/>
          <w:snapToGrid w:val="0"/>
          <w:color w:val="auto"/>
          <w:kern w:val="0"/>
          <w:sz w:val="24"/>
          <w:szCs w:val="24"/>
          <w:lang w:eastAsia="de-DE" w:bidi="en-US"/>
        </w:rPr>
        <w:t>Subsequently, the ITO substrates were treated with UV-ozone for 25 minutes for the PEDOT:PSS-based</w:t>
      </w:r>
      <w:r>
        <w:rPr>
          <w:rFonts w:hint="eastAsia" w:ascii="Times New Roman" w:hAnsi="Times New Roman" w:cs="Times New Roman"/>
          <w:snapToGrid w:val="0"/>
          <w:color w:val="auto"/>
          <w:kern w:val="0"/>
          <w:sz w:val="24"/>
          <w:szCs w:val="24"/>
          <w:lang w:bidi="en-US"/>
        </w:rPr>
        <w:t xml:space="preserve"> </w:t>
      </w:r>
      <w:r>
        <w:rPr>
          <w:rFonts w:ascii="Times New Roman" w:hAnsi="Times New Roman" w:eastAsia="Times New Roman" w:cs="Times New Roman"/>
          <w:snapToGrid w:val="0"/>
          <w:color w:val="auto"/>
          <w:kern w:val="0"/>
          <w:sz w:val="24"/>
          <w:szCs w:val="24"/>
          <w:lang w:eastAsia="de-DE" w:bidi="en-US"/>
        </w:rPr>
        <w:t xml:space="preserve">devices, while the 2PACz-based OSC utilized plasma cleaner treatment for ITO substrates. </w:t>
      </w:r>
      <w:r>
        <w:rPr>
          <w:rFonts w:ascii="Times New Roman" w:hAnsi="Times New Roman" w:cs="Times New Roman"/>
          <w:color w:val="auto"/>
          <w:sz w:val="24"/>
          <w:szCs w:val="24"/>
        </w:rPr>
        <w:t xml:space="preserve">First, </w:t>
      </w:r>
      <w:r>
        <w:rPr>
          <w:rFonts w:hint="eastAsia" w:ascii="Times New Roman" w:hAnsi="Times New Roman" w:cs="Times New Roman"/>
          <w:color w:val="auto"/>
          <w:sz w:val="24"/>
          <w:szCs w:val="24"/>
        </w:rPr>
        <w:t>regarding</w:t>
      </w:r>
      <w:r>
        <w:rPr>
          <w:rFonts w:ascii="Times New Roman" w:hAnsi="Times New Roman" w:cs="Times New Roman"/>
          <w:color w:val="auto"/>
          <w:sz w:val="24"/>
          <w:szCs w:val="24"/>
        </w:rPr>
        <w:t xml:space="preserve"> the hole transport layer (PEDOT:PSS or 2PACZ) prepared</w:t>
      </w:r>
      <w:r>
        <w:rPr>
          <w:rFonts w:hint="eastAsia" w:ascii="Times New Roman" w:hAnsi="Times New Roman" w:cs="Times New Roman"/>
          <w:color w:val="auto"/>
          <w:sz w:val="24"/>
          <w:szCs w:val="24"/>
        </w:rPr>
        <w:t xml:space="preserve"> on the</w:t>
      </w:r>
      <w:r>
        <w:rPr>
          <w:rFonts w:ascii="Times New Roman" w:hAnsi="Times New Roman" w:cs="Times New Roman"/>
          <w:color w:val="auto"/>
          <w:sz w:val="24"/>
          <w:szCs w:val="24"/>
        </w:rPr>
        <w:t xml:space="preserve"> ITO/Glass substrate, PEDOT:PSS was spin-coated onto clean ITO-coated glass substrates (5000 rpm for 30 s) and baked at 160 ℃ for 15 min. </w:t>
      </w:r>
      <w:r>
        <w:rPr>
          <w:rFonts w:hint="eastAsia" w:ascii="Times New Roman" w:hAnsi="Times New Roman" w:cs="Times New Roman"/>
          <w:color w:val="auto"/>
          <w:sz w:val="24"/>
          <w:szCs w:val="24"/>
        </w:rPr>
        <w:t>2</w:t>
      </w:r>
      <w:r>
        <w:rPr>
          <w:rFonts w:ascii="Times New Roman" w:hAnsi="Times New Roman" w:cs="Times New Roman"/>
          <w:color w:val="auto"/>
          <w:sz w:val="24"/>
          <w:szCs w:val="24"/>
        </w:rPr>
        <w:t>PACz w</w:t>
      </w:r>
      <w:r>
        <w:rPr>
          <w:rFonts w:hint="eastAsia" w:ascii="Times New Roman" w:hAnsi="Times New Roman" w:cs="Times New Roman"/>
          <w:color w:val="auto"/>
          <w:sz w:val="24"/>
          <w:szCs w:val="24"/>
        </w:rPr>
        <w:t>as</w:t>
      </w:r>
      <w:r>
        <w:rPr>
          <w:rFonts w:ascii="Times New Roman" w:hAnsi="Times New Roman" w:cs="Times New Roman"/>
          <w:color w:val="auto"/>
          <w:sz w:val="24"/>
          <w:szCs w:val="24"/>
        </w:rPr>
        <w:t xml:space="preserve"> dissolved in ethanol with a concentration of 0.27 mg/mL. The 2PACz solution (100 µL for a 1.5 × 1.5 cm</w:t>
      </w:r>
      <w:r>
        <w:rPr>
          <w:rFonts w:ascii="Times New Roman" w:hAnsi="Times New Roman" w:cs="Times New Roman"/>
          <w:color w:val="auto"/>
          <w:sz w:val="24"/>
          <w:szCs w:val="24"/>
          <w:vertAlign w:val="superscript"/>
        </w:rPr>
        <w:t>2</w:t>
      </w:r>
      <w:r>
        <w:rPr>
          <w:rFonts w:ascii="Times New Roman" w:hAnsi="Times New Roman" w:cs="Times New Roman"/>
          <w:color w:val="auto"/>
          <w:sz w:val="24"/>
          <w:szCs w:val="24"/>
        </w:rPr>
        <w:t xml:space="preserve"> substrate) was applied directly onto the ITO substrate for 30 s followed by a spin-coating step at 3000 rpm for 30 s. The ITO/</w:t>
      </w:r>
      <w:r>
        <w:rPr>
          <w:rFonts w:hint="eastAsia" w:ascii="Times New Roman" w:hAnsi="Times New Roman" w:cs="Times New Roman"/>
          <w:color w:val="auto"/>
          <w:sz w:val="24"/>
          <w:szCs w:val="24"/>
        </w:rPr>
        <w:t>2PACZ</w:t>
      </w:r>
      <w:r>
        <w:rPr>
          <w:rFonts w:ascii="Times New Roman" w:hAnsi="Times New Roman" w:cs="Times New Roman"/>
          <w:color w:val="auto"/>
          <w:sz w:val="24"/>
          <w:szCs w:val="24"/>
        </w:rPr>
        <w:t xml:space="preserve"> substrate was then placed onto a hotplate and annealed at 100℃ for 5 min. </w:t>
      </w:r>
      <w:bookmarkStart w:id="5" w:name="_Hlk204084428"/>
      <w:r>
        <w:rPr>
          <w:rFonts w:ascii="Times New Roman" w:hAnsi="Times New Roman" w:cs="Times New Roman"/>
          <w:color w:val="auto"/>
          <w:sz w:val="24"/>
          <w:szCs w:val="24"/>
        </w:rPr>
        <w:t>The D18 donor material was dissolved in chloroform at a concentration of 5 mg/mL and heated at 80</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 xml:space="preserve">°C under continuous stirring for approximately 1 hour. </w:t>
      </w:r>
      <w:r>
        <w:rPr>
          <w:rFonts w:hint="eastAsia" w:ascii="Times New Roman" w:hAnsi="Times New Roman" w:cs="Times New Roman"/>
          <w:color w:val="auto"/>
          <w:sz w:val="24"/>
          <w:szCs w:val="24"/>
        </w:rPr>
        <w:t>The a</w:t>
      </w:r>
      <w:r>
        <w:rPr>
          <w:rFonts w:ascii="Times New Roman" w:hAnsi="Times New Roman" w:cs="Times New Roman"/>
          <w:color w:val="auto"/>
          <w:sz w:val="24"/>
          <w:szCs w:val="24"/>
        </w:rPr>
        <w:t>cceptor materials (eC9, L8-BO, and eC9-4F) were separately dissolved in chloroform at 7.5 mg/mL, followed by heating at 50</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°C for 1 hour with sustained agitation.</w:t>
      </w:r>
      <w:bookmarkEnd w:id="5"/>
      <w:r>
        <w:rPr>
          <w:rFonts w:ascii="Times New Roman" w:hAnsi="Times New Roman" w:cs="Times New Roman"/>
          <w:color w:val="auto"/>
          <w:sz w:val="24"/>
          <w:szCs w:val="24"/>
        </w:rPr>
        <w:t xml:space="preserve"> </w:t>
      </w:r>
      <w:bookmarkStart w:id="6" w:name="_Hlk204084300"/>
      <w:r>
        <w:rPr>
          <w:rFonts w:ascii="Times New Roman" w:hAnsi="Times New Roman" w:cs="Times New Roman"/>
          <w:color w:val="auto"/>
          <w:sz w:val="24"/>
          <w:szCs w:val="24"/>
        </w:rPr>
        <w:t>The detailed preparation protocols for SqP films using three distinct processing methods are described as follows.</w:t>
      </w:r>
    </w:p>
    <w:bookmarkEnd w:id="6"/>
    <w:p w14:paraId="2F7BEAAA">
      <w:pPr>
        <w:spacing w:line="360" w:lineRule="auto"/>
        <w:rPr>
          <w:rFonts w:ascii="Times New Roman" w:hAnsi="Times New Roman" w:cs="Times New Roman"/>
          <w:color w:val="auto"/>
          <w:sz w:val="24"/>
          <w:szCs w:val="24"/>
        </w:rPr>
      </w:pPr>
      <w:bookmarkStart w:id="7" w:name="_Hlk204084329"/>
      <w:r>
        <w:rPr>
          <w:rFonts w:ascii="Times New Roman" w:hAnsi="Times New Roman" w:cs="Times New Roman"/>
          <w:color w:val="auto"/>
          <w:sz w:val="24"/>
          <w:szCs w:val="24"/>
        </w:rPr>
        <w:t>For the conventional method, the substrate with the hole transport layer was maintained at ambient temperature (~29.7</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 xml:space="preserve">°C).  Herein, the D18 solution (2800 rpm, 20s) and acceptor solution (3000 rpm, 20s) </w:t>
      </w:r>
      <w:r>
        <w:rPr>
          <w:rFonts w:hint="eastAsia" w:ascii="Times New Roman" w:hAnsi="Times New Roman" w:cs="Times New Roman"/>
          <w:color w:val="auto"/>
          <w:sz w:val="24"/>
          <w:szCs w:val="24"/>
        </w:rPr>
        <w:t>were</w:t>
      </w:r>
      <w:r>
        <w:rPr>
          <w:rFonts w:ascii="Times New Roman" w:hAnsi="Times New Roman" w:cs="Times New Roman"/>
          <w:color w:val="auto"/>
          <w:sz w:val="24"/>
          <w:szCs w:val="24"/>
        </w:rPr>
        <w:t xml:space="preserve"> cool</w:t>
      </w:r>
      <w:r>
        <w:rPr>
          <w:rFonts w:hint="eastAsia" w:ascii="Times New Roman" w:hAnsi="Times New Roman" w:cs="Times New Roman"/>
          <w:color w:val="auto"/>
          <w:sz w:val="24"/>
          <w:szCs w:val="24"/>
        </w:rPr>
        <w:t>ed</w:t>
      </w:r>
      <w:r>
        <w:rPr>
          <w:rFonts w:ascii="Times New Roman" w:hAnsi="Times New Roman" w:cs="Times New Roman"/>
          <w:color w:val="auto"/>
          <w:sz w:val="24"/>
          <w:szCs w:val="24"/>
        </w:rPr>
        <w:t xml:space="preserve"> for 5 minutes to room temperature for subsequent sequentially spin-coating process under room-temperature conditions.</w:t>
      </w:r>
    </w:p>
    <w:p w14:paraId="3FE6372D">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 xml:space="preserve">For the HS process, the donor solution and acceptor solution </w:t>
      </w:r>
      <w:r>
        <w:rPr>
          <w:rFonts w:hint="eastAsia" w:ascii="Times New Roman" w:hAnsi="Times New Roman" w:cs="Times New Roman"/>
          <w:color w:val="auto"/>
          <w:sz w:val="24"/>
          <w:szCs w:val="24"/>
        </w:rPr>
        <w:t>were</w:t>
      </w:r>
      <w:r>
        <w:rPr>
          <w:rFonts w:ascii="Times New Roman" w:hAnsi="Times New Roman" w:cs="Times New Roman"/>
          <w:color w:val="auto"/>
          <w:sz w:val="24"/>
          <w:szCs w:val="24"/>
        </w:rPr>
        <w:t xml:space="preserve"> cool</w:t>
      </w:r>
      <w:r>
        <w:rPr>
          <w:rFonts w:hint="eastAsia" w:ascii="Times New Roman" w:hAnsi="Times New Roman" w:cs="Times New Roman"/>
          <w:color w:val="auto"/>
          <w:sz w:val="24"/>
          <w:szCs w:val="24"/>
        </w:rPr>
        <w:t>ed</w:t>
      </w:r>
      <w:r>
        <w:rPr>
          <w:rFonts w:ascii="Times New Roman" w:hAnsi="Times New Roman" w:cs="Times New Roman"/>
          <w:color w:val="auto"/>
          <w:sz w:val="24"/>
          <w:szCs w:val="24"/>
        </w:rPr>
        <w:t xml:space="preserve"> for 5 minutes to room temperature for subsequent spin-coating process. Firstly, placing the substrate with the hole transport layer on a uniform heating </w:t>
      </w:r>
      <w:r>
        <w:rPr>
          <w:rFonts w:hint="eastAsia" w:ascii="Times New Roman" w:hAnsi="Times New Roman" w:cs="Times New Roman"/>
          <w:color w:val="auto"/>
          <w:sz w:val="24"/>
          <w:szCs w:val="24"/>
        </w:rPr>
        <w:t xml:space="preserve">stage </w:t>
      </w:r>
      <w:r>
        <w:rPr>
          <w:rFonts w:ascii="Times New Roman" w:hAnsi="Times New Roman" w:cs="Times New Roman"/>
          <w:color w:val="auto"/>
          <w:sz w:val="24"/>
          <w:szCs w:val="24"/>
        </w:rPr>
        <w:t>(with an optimal temperature of 70 ℃) for preheating. After preheating, the substrate was quickly transferred onto the chuck of the spin coater, at which point its surface temperature dropped to approximately 59.1 ℃. Subsequently, the pre-spinning stage was initiated, during which the substrate temperature gradually decreased. Once the temperature reached ~50</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°C, a D18 solution (at room temperature) was immediately spin-coated onto the hole transport layer at 2800 rpm for 20 seconds. When the substrate surface temperature naturally cooled to 36.4</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°C through high-speed rotation of the spin coater, the acceptor solution (also at room temperature) was promptly spin-coated onto the D18 donor layer at 3000</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rpm for 20 seconds. The temperature drop of the HS method occurred entirely through natural cooling without any external intervention or auxiliary cooling methods.</w:t>
      </w:r>
    </w:p>
    <w:p w14:paraId="7DDF94C2">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For the hot-solution method, the D18 donor solution was preheated at 80°C for 5 minutes on a temperature-controlled hotplate, while the acceptor solution was maintained at ambient conditions. The deposition sequence began with immediate spin-coating of the preheated D18 solution onto the hole-transport-layer-coated substrate at room temperature, followed by spin-coating of the room-temperature acceptor solution onto the formed D18 donor layer after a precisely controlled 20-second interval.</w:t>
      </w:r>
    </w:p>
    <w:bookmarkEnd w:id="7"/>
    <w:p w14:paraId="055AC766">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 xml:space="preserve">For </w:t>
      </w:r>
      <w:r>
        <w:rPr>
          <w:rFonts w:hint="eastAsia" w:ascii="Times New Roman" w:hAnsi="Times New Roman" w:cs="Times New Roman"/>
          <w:color w:val="auto"/>
          <w:sz w:val="24"/>
          <w:szCs w:val="24"/>
        </w:rPr>
        <w:t xml:space="preserve">all of the </w:t>
      </w:r>
      <w:r>
        <w:rPr>
          <w:rFonts w:ascii="Times New Roman" w:hAnsi="Times New Roman" w:cs="Times New Roman"/>
          <w:color w:val="auto"/>
          <w:sz w:val="24"/>
          <w:szCs w:val="24"/>
        </w:rPr>
        <w:t>devices, a methanol with 0.5% vol acetic acid blend solution of PNDIT-F3N at a concentration of 0.5 mg mL</w:t>
      </w:r>
      <w:r>
        <w:rPr>
          <w:rFonts w:ascii="Times New Roman" w:hAnsi="Times New Roman" w:cs="Times New Roman"/>
          <w:color w:val="auto"/>
          <w:sz w:val="24"/>
          <w:szCs w:val="24"/>
          <w:vertAlign w:val="superscript"/>
        </w:rPr>
        <w:t>-1</w:t>
      </w:r>
      <w:r>
        <w:rPr>
          <w:rFonts w:ascii="Times New Roman" w:hAnsi="Times New Roman" w:cs="Times New Roman"/>
          <w:color w:val="auto"/>
          <w:sz w:val="24"/>
          <w:szCs w:val="24"/>
        </w:rPr>
        <w:t xml:space="preserve"> was spin-coated onto the active layer at 2000 rpm for 30 s. Finally, around 100 nm of Ag was evaporated under 1×10</w:t>
      </w:r>
      <w:r>
        <w:rPr>
          <w:rFonts w:ascii="Times New Roman" w:hAnsi="Times New Roman" w:cs="Times New Roman"/>
          <w:color w:val="auto"/>
          <w:sz w:val="24"/>
          <w:szCs w:val="24"/>
          <w:vertAlign w:val="superscript"/>
        </w:rPr>
        <w:t>-4</w:t>
      </w:r>
      <w:r>
        <w:rPr>
          <w:rFonts w:ascii="Times New Roman" w:hAnsi="Times New Roman" w:cs="Times New Roman"/>
          <w:color w:val="auto"/>
          <w:sz w:val="24"/>
          <w:szCs w:val="24"/>
        </w:rPr>
        <w:t xml:space="preserve"> Pa through a shadow mask. Then, the encapsulation was carried out.</w:t>
      </w:r>
    </w:p>
    <w:bookmarkEnd w:id="4"/>
    <w:p w14:paraId="06A03D58">
      <w:pPr>
        <w:widowControl/>
        <w:adjustRightInd w:val="0"/>
        <w:snapToGrid w:val="0"/>
        <w:spacing w:line="360" w:lineRule="auto"/>
        <w:rPr>
          <w:rFonts w:ascii="Times New Roman" w:hAnsi="Times New Roman" w:cs="Times New Roman"/>
          <w:snapToGrid w:val="0"/>
          <w:color w:val="auto"/>
          <w:kern w:val="0"/>
          <w:sz w:val="24"/>
          <w:szCs w:val="24"/>
          <w:lang w:bidi="en-US"/>
        </w:rPr>
      </w:pPr>
    </w:p>
    <w:p w14:paraId="4C5E0FAA">
      <w:pPr>
        <w:widowControl/>
        <w:adjustRightInd w:val="0"/>
        <w:snapToGrid w:val="0"/>
        <w:spacing w:line="360" w:lineRule="auto"/>
        <w:rPr>
          <w:rFonts w:ascii="Times New Roman" w:hAnsi="Times New Roman" w:eastAsia="Times New Roman" w:cs="Times New Roman"/>
          <w:snapToGrid w:val="0"/>
          <w:color w:val="auto"/>
          <w:kern w:val="0"/>
          <w:sz w:val="24"/>
          <w:szCs w:val="24"/>
          <w:lang w:bidi="en-US"/>
        </w:rPr>
      </w:pPr>
      <w:bookmarkStart w:id="8" w:name="_Hlk111140969"/>
      <w:r>
        <w:rPr>
          <w:rFonts w:ascii="Times New Roman" w:hAnsi="Times New Roman" w:eastAsia="Times New Roman" w:cs="Times New Roman"/>
          <w:b/>
          <w:snapToGrid w:val="0"/>
          <w:color w:val="auto"/>
          <w:kern w:val="0"/>
          <w:sz w:val="24"/>
          <w:szCs w:val="24"/>
          <w:lang w:eastAsia="de-DE" w:bidi="en-US"/>
        </w:rPr>
        <w:t>Device characterization.</w:t>
      </w:r>
      <w:bookmarkEnd w:id="8"/>
      <w:r>
        <w:rPr>
          <w:rFonts w:ascii="Times New Roman" w:hAnsi="Times New Roman" w:eastAsia="Times New Roman" w:cs="Times New Roman"/>
          <w:b/>
          <w:snapToGrid w:val="0"/>
          <w:color w:val="auto"/>
          <w:kern w:val="0"/>
          <w:sz w:val="24"/>
          <w:szCs w:val="24"/>
          <w:lang w:eastAsia="de-DE" w:bidi="en-US"/>
        </w:rPr>
        <w:t xml:space="preserve"> </w:t>
      </w:r>
      <w:r>
        <w:rPr>
          <w:rFonts w:hint="eastAsia" w:ascii="Times New Roman" w:hAnsi="Times New Roman" w:eastAsia="Times New Roman" w:cs="Times New Roman"/>
          <w:snapToGrid w:val="0"/>
          <w:color w:val="auto"/>
          <w:kern w:val="0"/>
          <w:sz w:val="24"/>
          <w:szCs w:val="24"/>
          <w:lang w:bidi="en-US"/>
        </w:rPr>
        <w:t>The encapsulated devices were comprehensively characterized through sequential measurements: Current density-voltage (</w:t>
      </w:r>
      <w:r>
        <w:rPr>
          <w:rFonts w:hint="eastAsia" w:ascii="Times New Roman" w:hAnsi="Times New Roman" w:eastAsia="Times New Roman" w:cs="Times New Roman"/>
          <w:i/>
          <w:iCs/>
          <w:snapToGrid w:val="0"/>
          <w:color w:val="auto"/>
          <w:kern w:val="0"/>
          <w:sz w:val="24"/>
          <w:szCs w:val="24"/>
          <w:lang w:bidi="en-US"/>
        </w:rPr>
        <w:t>J-V</w:t>
      </w:r>
      <w:r>
        <w:rPr>
          <w:rFonts w:hint="eastAsia" w:ascii="Times New Roman" w:hAnsi="Times New Roman" w:eastAsia="Times New Roman" w:cs="Times New Roman"/>
          <w:snapToGrid w:val="0"/>
          <w:color w:val="auto"/>
          <w:kern w:val="0"/>
          <w:sz w:val="24"/>
          <w:szCs w:val="24"/>
          <w:lang w:bidi="en-US"/>
        </w:rPr>
        <w:t>) curves were recorded under AM 1.5G illumination (100 mW·cm⁻²) using an Enlitech solar simulator coupled with a Keithley 2400 Source Meter, with light intensity calibrated through a KG5-filtered reference silicon diode to eliminate spectral mismatch. Concurrent optical microscopy (Olympus BX51) precisely defined the active device area as 4.01 mm². External quantum efficiency (EQE) measurements employed an Enlitech QE-S system featuring a 300 W xenon lamp monochromator, while frequency-dependent impedance spectroscopy and photo-CELIV analyses were conducted using a commercial Paios platform (FLUXiM AG) to probe charge transport dynamics. All electrical measurements were performed under nitrogen atmosphere to prevent environmental degradation.</w:t>
      </w:r>
    </w:p>
    <w:p w14:paraId="4F8BDD86">
      <w:pPr>
        <w:spacing w:line="360" w:lineRule="auto"/>
        <w:rPr>
          <w:rFonts w:ascii="Times New Roman" w:hAnsi="Times New Roman" w:eastAsia="宋体"/>
          <w:bCs/>
          <w:color w:val="auto"/>
          <w:sz w:val="24"/>
          <w:szCs w:val="24"/>
        </w:rPr>
      </w:pPr>
    </w:p>
    <w:p w14:paraId="43BE45AE">
      <w:pPr>
        <w:autoSpaceDE w:val="0"/>
        <w:spacing w:line="360" w:lineRule="auto"/>
        <w:rPr>
          <w:rFonts w:ascii="Times New Roman" w:hAnsi="Times New Roman" w:eastAsia="宋体" w:cs="Times New Roman"/>
          <w:color w:val="auto"/>
          <w:sz w:val="24"/>
          <w:szCs w:val="24"/>
        </w:rPr>
      </w:pPr>
      <w:r>
        <w:rPr>
          <w:rFonts w:ascii="Times New Roman" w:hAnsi="Times New Roman" w:eastAsia="宋体" w:cs="Times New Roman"/>
          <w:b/>
          <w:bCs/>
          <w:color w:val="auto"/>
          <w:sz w:val="24"/>
          <w:szCs w:val="24"/>
        </w:rPr>
        <w:t>Atomic force microscopy (AFM)</w:t>
      </w:r>
      <w:r>
        <w:rPr>
          <w:rFonts w:ascii="Times New Roman" w:hAnsi="Times New Roman" w:eastAsia="宋体" w:cs="Times New Roman"/>
          <w:color w:val="auto"/>
          <w:sz w:val="24"/>
          <w:szCs w:val="24"/>
        </w:rPr>
        <w:t>. AFM measurements were performed by using a Scanning Probe Microscope</w:t>
      </w:r>
      <w:r>
        <w:rPr>
          <w:rFonts w:hint="eastAsia" w:ascii="Times New Roman" w:hAnsi="Times New Roman" w:eastAsia="宋体" w:cs="Times New Roman"/>
          <w:color w:val="auto"/>
          <w:sz w:val="24"/>
          <w:szCs w:val="24"/>
        </w:rPr>
        <w:t xml:space="preserve"> </w:t>
      </w:r>
      <w:r>
        <w:rPr>
          <w:rFonts w:ascii="Times New Roman" w:hAnsi="Times New Roman" w:eastAsia="宋体" w:cs="Times New Roman"/>
          <w:color w:val="auto"/>
          <w:sz w:val="24"/>
          <w:szCs w:val="24"/>
        </w:rPr>
        <w:t>Dimension 3100 in tapping mode under atmosphere conditions at room temperature. All film samples were spin-cast on glass/ITO substrates.</w:t>
      </w:r>
    </w:p>
    <w:p w14:paraId="7584028B">
      <w:pPr>
        <w:autoSpaceDE w:val="0"/>
        <w:spacing w:line="360" w:lineRule="auto"/>
        <w:rPr>
          <w:rFonts w:ascii="Times New Roman" w:hAnsi="Times New Roman" w:eastAsia="宋体" w:cs="Times New Roman"/>
          <w:color w:val="auto"/>
          <w:sz w:val="24"/>
          <w:szCs w:val="24"/>
        </w:rPr>
      </w:pPr>
    </w:p>
    <w:p w14:paraId="646282A2">
      <w:pPr>
        <w:widowControl/>
        <w:adjustRightInd w:val="0"/>
        <w:snapToGrid w:val="0"/>
        <w:spacing w:line="360" w:lineRule="auto"/>
        <w:rPr>
          <w:rFonts w:ascii="Times New Roman" w:hAnsi="Times New Roman" w:cs="Times New Roman"/>
          <w:snapToGrid w:val="0"/>
          <w:color w:val="auto"/>
          <w:kern w:val="0"/>
          <w:sz w:val="24"/>
          <w:szCs w:val="24"/>
          <w:lang w:bidi="en-US"/>
        </w:rPr>
      </w:pPr>
      <w:r>
        <w:rPr>
          <w:rFonts w:ascii="Times New Roman" w:hAnsi="Times New Roman" w:eastAsia="宋体"/>
          <w:b/>
          <w:bCs/>
          <w:color w:val="auto"/>
          <w:sz w:val="24"/>
          <w:szCs w:val="24"/>
          <w:lang w:val="en-SG"/>
        </w:rPr>
        <w:t xml:space="preserve">Grazing-incidence wide-angle X-ray scattering (GIWAXS) measurements: </w:t>
      </w:r>
      <w:r>
        <w:rPr>
          <w:rFonts w:ascii="Times New Roman" w:hAnsi="Times New Roman" w:eastAsia="Times New Roman" w:cs="Times New Roman"/>
          <w:snapToGrid w:val="0"/>
          <w:color w:val="auto"/>
          <w:kern w:val="0"/>
          <w:sz w:val="24"/>
          <w:szCs w:val="24"/>
          <w:lang w:bidi="en-US"/>
        </w:rPr>
        <w:t>Grazing-incidence wide-angle X-ray scattering (GIWAXS) measurements were conducted at the BL16B1 beamline of the Shanghai Synchrotron Radiation Facility (SSRF). Thin-film specimens were spin-coated onto silicon substrates using identical processing parameters and precursor solutions as those employed in device fabrication. A monochromatic 10 keV X-ray beam (λ = 0.124 nm) was incident at a grazing angle of 0.15° with 30-second exposure time to optimize scattering signal intensity. Diffraction patterns were recorded using a Dectris Pilatus 1M photon-counting detector positioned 220 mm downstream. The two-dimensional scattering data were processed through azimuthal integration using the Nika software package (v2.64) to generate quantitative one-dimensional (1D) intensity profiles. Crystallographic coherence lengths were derived via Scherrer analysis:</w:t>
      </w:r>
      <w:r>
        <w:rPr>
          <w:rFonts w:ascii="Times New Roman" w:hAnsi="Times New Roman" w:eastAsia="宋体"/>
          <w:color w:val="auto"/>
          <w:sz w:val="24"/>
          <w:szCs w:val="24"/>
          <w:lang w:val="en-SG"/>
        </w:rPr>
        <w:t>CCL = 2πK/FWHM</w:t>
      </w:r>
      <w:r>
        <w:rPr>
          <w:rFonts w:hint="eastAsia" w:ascii="Times New Roman" w:hAnsi="Times New Roman" w:eastAsia="宋体"/>
          <w:color w:val="auto"/>
          <w:sz w:val="24"/>
          <w:szCs w:val="24"/>
          <w:lang w:val="en-SG"/>
        </w:rPr>
        <w:t>，</w:t>
      </w:r>
      <w:r>
        <w:rPr>
          <w:rFonts w:ascii="Times New Roman" w:hAnsi="Times New Roman" w:eastAsia="Times New Roman" w:cs="Times New Roman"/>
          <w:snapToGrid w:val="0"/>
          <w:color w:val="auto"/>
          <w:kern w:val="0"/>
          <w:sz w:val="24"/>
          <w:szCs w:val="24"/>
          <w:lang w:bidi="en-US"/>
        </w:rPr>
        <w:t>where</w:t>
      </w:r>
      <w:r>
        <w:rPr>
          <w:rFonts w:hint="eastAsia" w:ascii="Times New Roman" w:hAnsi="Times New Roman" w:cs="Times New Roman"/>
          <w:snapToGrid w:val="0"/>
          <w:color w:val="auto"/>
          <w:kern w:val="0"/>
          <w:sz w:val="24"/>
          <w:szCs w:val="24"/>
          <w:lang w:bidi="en-US"/>
        </w:rPr>
        <w:t xml:space="preserve"> </w:t>
      </w:r>
      <w:r>
        <w:rPr>
          <w:rFonts w:ascii="Times New Roman" w:hAnsi="Times New Roman" w:eastAsia="Times New Roman" w:cs="Times New Roman"/>
          <w:snapToGrid w:val="0"/>
          <w:color w:val="auto"/>
          <w:kern w:val="0"/>
          <w:sz w:val="24"/>
          <w:szCs w:val="24"/>
          <w:lang w:bidi="en-US"/>
        </w:rPr>
        <w:t>K</w:t>
      </w:r>
      <w:r>
        <w:rPr>
          <w:rFonts w:hint="eastAsia" w:ascii="Times New Roman" w:hAnsi="Times New Roman" w:cs="Times New Roman"/>
          <w:snapToGrid w:val="0"/>
          <w:color w:val="auto"/>
          <w:kern w:val="0"/>
          <w:sz w:val="24"/>
          <w:szCs w:val="24"/>
          <w:lang w:bidi="en-US"/>
        </w:rPr>
        <w:t xml:space="preserve"> </w:t>
      </w:r>
      <w:r>
        <w:rPr>
          <w:rFonts w:ascii="Times New Roman" w:hAnsi="Times New Roman" w:eastAsia="Times New Roman" w:cs="Times New Roman"/>
          <w:snapToGrid w:val="0"/>
          <w:color w:val="auto"/>
          <w:kern w:val="0"/>
          <w:sz w:val="24"/>
          <w:szCs w:val="24"/>
          <w:lang w:bidi="en-US"/>
        </w:rPr>
        <w:t>represents the dimensionless shape factor (0.9 for spherical crystallites), FWHM denotes the full-width-at-half-maximum of diffraction peaks (radians), and</w:t>
      </w:r>
      <w:r>
        <w:rPr>
          <w:rFonts w:hint="eastAsia" w:ascii="Times New Roman" w:hAnsi="Times New Roman" w:cs="Times New Roman"/>
          <w:snapToGrid w:val="0"/>
          <w:color w:val="auto"/>
          <w:kern w:val="0"/>
          <w:sz w:val="24"/>
          <w:szCs w:val="24"/>
          <w:lang w:bidi="en-US"/>
        </w:rPr>
        <w:t xml:space="preserve"> </w:t>
      </w:r>
      <w:r>
        <w:rPr>
          <w:rFonts w:ascii="Times New Roman" w:hAnsi="Times New Roman" w:eastAsia="Times New Roman" w:cs="Times New Roman"/>
          <w:i/>
          <w:iCs/>
          <w:snapToGrid w:val="0"/>
          <w:color w:val="auto"/>
          <w:kern w:val="0"/>
          <w:sz w:val="24"/>
          <w:szCs w:val="24"/>
          <w:lang w:bidi="en-US"/>
        </w:rPr>
        <w:t>θ</w:t>
      </w:r>
      <w:r>
        <w:rPr>
          <w:rFonts w:hint="eastAsia" w:ascii="Times New Roman" w:hAnsi="Times New Roman" w:cs="Times New Roman"/>
          <w:snapToGrid w:val="0"/>
          <w:color w:val="auto"/>
          <w:kern w:val="0"/>
          <w:sz w:val="24"/>
          <w:szCs w:val="24"/>
          <w:lang w:bidi="en-US"/>
        </w:rPr>
        <w:t xml:space="preserve"> </w:t>
      </w:r>
      <w:r>
        <w:rPr>
          <w:rFonts w:ascii="Times New Roman" w:hAnsi="Times New Roman" w:eastAsia="Times New Roman" w:cs="Times New Roman"/>
          <w:snapToGrid w:val="0"/>
          <w:color w:val="auto"/>
          <w:kern w:val="0"/>
          <w:sz w:val="24"/>
          <w:szCs w:val="24"/>
          <w:lang w:bidi="en-US"/>
        </w:rPr>
        <w:t>corresponds to the Bragg angle of respective lattice planes.</w:t>
      </w:r>
      <w:r>
        <w:rPr>
          <w:rFonts w:hint="eastAsia" w:ascii="Times New Roman" w:hAnsi="Times New Roman" w:cs="Times New Roman"/>
          <w:snapToGrid w:val="0"/>
          <w:color w:val="auto"/>
          <w:kern w:val="0"/>
          <w:sz w:val="24"/>
          <w:szCs w:val="24"/>
          <w:lang w:bidi="en-US"/>
        </w:rPr>
        <w:t xml:space="preserve"> </w:t>
      </w:r>
    </w:p>
    <w:p w14:paraId="323A6FAC">
      <w:pPr>
        <w:adjustRightInd w:val="0"/>
        <w:snapToGrid w:val="0"/>
        <w:spacing w:line="360" w:lineRule="auto"/>
        <w:rPr>
          <w:rFonts w:ascii="Times New Roman" w:hAnsi="Times New Roman" w:eastAsia="宋体" w:cs="Times New Roman"/>
          <w:color w:val="auto"/>
          <w:sz w:val="24"/>
          <w:szCs w:val="24"/>
        </w:rPr>
      </w:pPr>
    </w:p>
    <w:p w14:paraId="06DAE5C4">
      <w:pPr>
        <w:spacing w:line="360" w:lineRule="auto"/>
        <w:rPr>
          <w:rFonts w:ascii="Times New Roman" w:hAnsi="Times New Roman" w:eastAsia="宋体" w:cs="Times New Roman"/>
          <w:bCs/>
          <w:color w:val="auto"/>
          <w:kern w:val="0"/>
          <w:sz w:val="24"/>
          <w:szCs w:val="24"/>
        </w:rPr>
      </w:pPr>
      <w:r>
        <w:rPr>
          <w:rFonts w:ascii="Times New Roman" w:hAnsi="Times New Roman" w:eastAsia="Times New Roman" w:cs="Times New Roman"/>
          <w:b/>
          <w:bCs/>
          <w:snapToGrid w:val="0"/>
          <w:color w:val="auto"/>
          <w:kern w:val="0"/>
          <w:sz w:val="24"/>
          <w:szCs w:val="24"/>
          <w:lang w:val="en-AU" w:eastAsia="de-DE" w:bidi="en-US"/>
        </w:rPr>
        <w:t>SCLC Measurements:</w:t>
      </w:r>
      <w:r>
        <w:rPr>
          <w:rFonts w:ascii="Times New Roman" w:hAnsi="Times New Roman" w:eastAsia="Times New Roman" w:cs="Times New Roman"/>
          <w:b/>
          <w:bCs/>
          <w:snapToGrid w:val="0"/>
          <w:color w:val="auto"/>
          <w:kern w:val="0"/>
          <w:sz w:val="24"/>
          <w:szCs w:val="24"/>
          <w:lang w:val="de-DE" w:eastAsia="de-DE" w:bidi="en-US"/>
        </w:rPr>
        <w:t xml:space="preserve"> </w:t>
      </w:r>
      <w:r>
        <w:rPr>
          <w:rFonts w:ascii="Times New Roman" w:hAnsi="Times New Roman" w:eastAsia="Times New Roman" w:cs="Times New Roman"/>
          <w:snapToGrid w:val="0"/>
          <w:color w:val="auto"/>
          <w:kern w:val="0"/>
          <w:sz w:val="24"/>
          <w:szCs w:val="24"/>
          <w:lang w:bidi="en-US"/>
        </w:rPr>
        <w:t>Unipolar charge transport devices were fabricated with tailored architectures: Electron-only devices (ITO/ZnO/D18/eC9/PNDIT-F3N/Ag) and dual-configuration hole-only devices (ITO/PEDOT:PSS/D18/MoO₃/Ag</w:t>
      </w:r>
      <w:r>
        <w:rPr>
          <w:rFonts w:hint="eastAsia" w:ascii="Times New Roman" w:hAnsi="Times New Roman" w:eastAsia="Times New Roman" w:cs="Times New Roman"/>
          <w:snapToGrid w:val="0"/>
          <w:color w:val="auto"/>
          <w:kern w:val="0"/>
          <w:sz w:val="24"/>
          <w:szCs w:val="24"/>
          <w:lang w:bidi="en-US"/>
        </w:rPr>
        <w:t xml:space="preserve"> </w:t>
      </w:r>
      <w:r>
        <w:rPr>
          <w:rFonts w:ascii="Times New Roman" w:hAnsi="Times New Roman" w:eastAsia="Times New Roman" w:cs="Times New Roman"/>
          <w:snapToGrid w:val="0"/>
          <w:color w:val="auto"/>
          <w:kern w:val="0"/>
          <w:sz w:val="24"/>
          <w:szCs w:val="24"/>
          <w:lang w:bidi="en-US"/>
        </w:rPr>
        <w:t>and ITO/ZnO/D18/eC9/PNDIT-F3N/Ag) were prepared with controlled active layer thicknesses of 60 nm for pristine D18 and 100 nm for D18:eC9 blend layers. Current density-voltage (</w:t>
      </w:r>
      <w:r>
        <w:rPr>
          <w:rFonts w:ascii="Times New Roman" w:hAnsi="Times New Roman" w:eastAsia="Times New Roman" w:cs="Times New Roman"/>
          <w:i/>
          <w:iCs/>
          <w:snapToGrid w:val="0"/>
          <w:color w:val="auto"/>
          <w:kern w:val="0"/>
          <w:sz w:val="24"/>
          <w:szCs w:val="24"/>
          <w:lang w:bidi="en-US"/>
        </w:rPr>
        <w:t>J-V</w:t>
      </w:r>
      <w:r>
        <w:rPr>
          <w:rFonts w:ascii="Times New Roman" w:hAnsi="Times New Roman" w:eastAsia="Times New Roman" w:cs="Times New Roman"/>
          <w:snapToGrid w:val="0"/>
          <w:color w:val="auto"/>
          <w:kern w:val="0"/>
          <w:sz w:val="24"/>
          <w:szCs w:val="24"/>
          <w:lang w:bidi="en-US"/>
        </w:rPr>
        <w:t>) characterization under dark conditions (0-8 V bias range) enabled space-charge-limited current (SCLC) analysis via the Mott-Gurney formalism, where carrier mobilities were derived through numerical fitting of the equation</w:t>
      </w:r>
      <m:oMath>
        <m:r>
          <m:rPr/>
          <w:rPr>
            <w:rFonts w:ascii="Cambria Math" w:hAnsi="Cambria Math" w:eastAsia="MS Mincho" w:cs="Times New Roman"/>
            <w:color w:val="auto"/>
            <w:kern w:val="0"/>
            <w:sz w:val="24"/>
            <w:szCs w:val="24"/>
            <w:lang w:val="de-DE" w:eastAsia="ja-JP"/>
          </w:rPr>
          <m:t>J=</m:t>
        </m:r>
        <m:f>
          <m:fPr>
            <m:ctrlPr>
              <w:rPr>
                <w:rFonts w:ascii="Cambria Math" w:hAnsi="Cambria Math" w:eastAsia="MS Mincho" w:cs="Times New Roman"/>
                <w:bCs/>
                <w:i/>
                <w:color w:val="auto"/>
                <w:kern w:val="0"/>
                <w:sz w:val="24"/>
                <w:szCs w:val="24"/>
                <w:lang w:val="de-DE" w:eastAsia="ja-JP"/>
              </w:rPr>
            </m:ctrlPr>
          </m:fPr>
          <m:num>
            <m:r>
              <m:rPr/>
              <w:rPr>
                <w:rFonts w:ascii="Cambria Math" w:hAnsi="Cambria Math" w:eastAsia="MS Mincho" w:cs="Times New Roman"/>
                <w:color w:val="auto"/>
                <w:kern w:val="0"/>
                <w:sz w:val="24"/>
                <w:szCs w:val="24"/>
                <w:lang w:val="de-DE" w:eastAsia="ja-JP"/>
              </w:rPr>
              <m:t>9</m:t>
            </m:r>
            <m:sSub>
              <m:sSubPr>
                <m:ctrlPr>
                  <w:rPr>
                    <w:rFonts w:ascii="Cambria Math" w:hAnsi="Cambria Math" w:eastAsia="MS Mincho" w:cs="Times New Roman"/>
                    <w:bCs/>
                    <w:i/>
                    <w:color w:val="auto"/>
                    <w:kern w:val="0"/>
                    <w:sz w:val="24"/>
                    <w:szCs w:val="24"/>
                    <w:lang w:val="de-DE" w:eastAsia="ja-JP"/>
                  </w:rPr>
                </m:ctrlPr>
              </m:sSubPr>
              <m:e>
                <m:r>
                  <m:rPr/>
                  <w:rPr>
                    <w:rFonts w:ascii="Cambria Math" w:hAnsi="Cambria Math" w:eastAsia="MS Mincho" w:cs="Times New Roman"/>
                    <w:color w:val="auto"/>
                    <w:kern w:val="0"/>
                    <w:sz w:val="24"/>
                    <w:szCs w:val="24"/>
                    <w:lang w:val="de-DE" w:eastAsia="ja-JP"/>
                  </w:rPr>
                  <m:t>ε</m:t>
                </m:r>
                <m:ctrlPr>
                  <w:rPr>
                    <w:rFonts w:ascii="Cambria Math" w:hAnsi="Cambria Math" w:eastAsia="MS Mincho" w:cs="Times New Roman"/>
                    <w:bCs/>
                    <w:i/>
                    <w:color w:val="auto"/>
                    <w:kern w:val="0"/>
                    <w:sz w:val="24"/>
                    <w:szCs w:val="24"/>
                    <w:lang w:val="de-DE" w:eastAsia="ja-JP"/>
                  </w:rPr>
                </m:ctrlPr>
              </m:e>
              <m:sub>
                <m:r>
                  <m:rPr/>
                  <w:rPr>
                    <w:rFonts w:ascii="Cambria Math" w:hAnsi="Cambria Math" w:eastAsia="MS Mincho" w:cs="Times New Roman"/>
                    <w:color w:val="auto"/>
                    <w:kern w:val="0"/>
                    <w:sz w:val="24"/>
                    <w:szCs w:val="24"/>
                    <w:lang w:val="de-DE" w:eastAsia="ja-JP"/>
                  </w:rPr>
                  <m:t>0</m:t>
                </m:r>
                <m:ctrlPr>
                  <w:rPr>
                    <w:rFonts w:ascii="Cambria Math" w:hAnsi="Cambria Math" w:eastAsia="MS Mincho" w:cs="Times New Roman"/>
                    <w:bCs/>
                    <w:i/>
                    <w:color w:val="auto"/>
                    <w:kern w:val="0"/>
                    <w:sz w:val="24"/>
                    <w:szCs w:val="24"/>
                    <w:lang w:val="de-DE" w:eastAsia="ja-JP"/>
                  </w:rPr>
                </m:ctrlPr>
              </m:sub>
            </m:sSub>
            <m:sSub>
              <m:sSubPr>
                <m:ctrlPr>
                  <w:rPr>
                    <w:rFonts w:ascii="Cambria Math" w:hAnsi="Cambria Math" w:eastAsia="MS Mincho" w:cs="Times New Roman"/>
                    <w:bCs/>
                    <w:i/>
                    <w:color w:val="auto"/>
                    <w:kern w:val="0"/>
                    <w:sz w:val="24"/>
                    <w:szCs w:val="24"/>
                    <w:lang w:val="de-DE" w:eastAsia="ja-JP"/>
                  </w:rPr>
                </m:ctrlPr>
              </m:sSubPr>
              <m:e>
                <m:r>
                  <m:rPr/>
                  <w:rPr>
                    <w:rFonts w:ascii="Cambria Math" w:hAnsi="Cambria Math" w:eastAsia="MS Mincho" w:cs="Times New Roman"/>
                    <w:color w:val="auto"/>
                    <w:kern w:val="0"/>
                    <w:sz w:val="24"/>
                    <w:szCs w:val="24"/>
                    <w:lang w:val="de-DE" w:eastAsia="ja-JP"/>
                  </w:rPr>
                  <m:t>ε</m:t>
                </m:r>
                <m:ctrlPr>
                  <w:rPr>
                    <w:rFonts w:ascii="Cambria Math" w:hAnsi="Cambria Math" w:eastAsia="MS Mincho" w:cs="Times New Roman"/>
                    <w:bCs/>
                    <w:i/>
                    <w:color w:val="auto"/>
                    <w:kern w:val="0"/>
                    <w:sz w:val="24"/>
                    <w:szCs w:val="24"/>
                    <w:lang w:val="de-DE" w:eastAsia="ja-JP"/>
                  </w:rPr>
                </m:ctrlPr>
              </m:e>
              <m:sub>
                <m:r>
                  <m:rPr/>
                  <w:rPr>
                    <w:rFonts w:ascii="Cambria Math" w:hAnsi="Cambria Math" w:eastAsia="MS Mincho" w:cs="Times New Roman"/>
                    <w:color w:val="auto"/>
                    <w:kern w:val="0"/>
                    <w:sz w:val="24"/>
                    <w:szCs w:val="24"/>
                    <w:lang w:val="de-DE" w:eastAsia="ja-JP"/>
                  </w:rPr>
                  <m:t>r</m:t>
                </m:r>
                <m:ctrlPr>
                  <w:rPr>
                    <w:rFonts w:ascii="Cambria Math" w:hAnsi="Cambria Math" w:eastAsia="MS Mincho" w:cs="Times New Roman"/>
                    <w:bCs/>
                    <w:i/>
                    <w:color w:val="auto"/>
                    <w:kern w:val="0"/>
                    <w:sz w:val="24"/>
                    <w:szCs w:val="24"/>
                    <w:lang w:val="de-DE" w:eastAsia="ja-JP"/>
                  </w:rPr>
                </m:ctrlPr>
              </m:sub>
            </m:sSub>
            <m:r>
              <m:rPr/>
              <w:rPr>
                <w:rFonts w:ascii="Cambria Math" w:hAnsi="Cambria Math" w:eastAsia="等线" w:cs="Times New Roman"/>
                <w:color w:val="auto"/>
                <w:kern w:val="0"/>
                <w:sz w:val="24"/>
                <w:szCs w:val="24"/>
                <w:lang w:val="de-DE"/>
              </w:rPr>
              <m:t>μ</m:t>
            </m:r>
            <m:sSup>
              <m:sSupPr>
                <m:ctrlPr>
                  <w:rPr>
                    <w:rFonts w:ascii="Cambria Math" w:hAnsi="Cambria Math" w:eastAsia="MS Mincho" w:cs="Times New Roman"/>
                    <w:bCs/>
                    <w:i/>
                    <w:color w:val="auto"/>
                    <w:kern w:val="0"/>
                    <w:sz w:val="24"/>
                    <w:szCs w:val="24"/>
                    <w:lang w:val="de-DE" w:eastAsia="ja-JP"/>
                  </w:rPr>
                </m:ctrlPr>
              </m:sSupPr>
              <m:e>
                <m:r>
                  <m:rPr/>
                  <w:rPr>
                    <w:rFonts w:ascii="Cambria Math" w:hAnsi="Cambria Math" w:eastAsia="MS Mincho" w:cs="Times New Roman"/>
                    <w:color w:val="auto"/>
                    <w:kern w:val="0"/>
                    <w:sz w:val="24"/>
                    <w:szCs w:val="24"/>
                    <w:lang w:val="de-DE" w:eastAsia="ja-JP"/>
                  </w:rPr>
                  <m:t>V</m:t>
                </m:r>
                <m:ctrlPr>
                  <w:rPr>
                    <w:rFonts w:ascii="Cambria Math" w:hAnsi="Cambria Math" w:eastAsia="MS Mincho" w:cs="Times New Roman"/>
                    <w:bCs/>
                    <w:i/>
                    <w:color w:val="auto"/>
                    <w:kern w:val="0"/>
                    <w:sz w:val="24"/>
                    <w:szCs w:val="24"/>
                    <w:lang w:val="de-DE" w:eastAsia="ja-JP"/>
                  </w:rPr>
                </m:ctrlPr>
              </m:e>
              <m:sup>
                <m:r>
                  <m:rPr/>
                  <w:rPr>
                    <w:rFonts w:ascii="Cambria Math" w:hAnsi="Cambria Math" w:eastAsia="MS Mincho" w:cs="Times New Roman"/>
                    <w:color w:val="auto"/>
                    <w:kern w:val="0"/>
                    <w:sz w:val="24"/>
                    <w:szCs w:val="24"/>
                    <w:lang w:val="de-DE" w:eastAsia="ja-JP"/>
                  </w:rPr>
                  <m:t>2</m:t>
                </m:r>
                <m:ctrlPr>
                  <w:rPr>
                    <w:rFonts w:ascii="Cambria Math" w:hAnsi="Cambria Math" w:eastAsia="MS Mincho" w:cs="Times New Roman"/>
                    <w:bCs/>
                    <w:i/>
                    <w:color w:val="auto"/>
                    <w:kern w:val="0"/>
                    <w:sz w:val="24"/>
                    <w:szCs w:val="24"/>
                    <w:lang w:val="de-DE" w:eastAsia="ja-JP"/>
                  </w:rPr>
                </m:ctrlPr>
              </m:sup>
            </m:sSup>
            <m:ctrlPr>
              <w:rPr>
                <w:rFonts w:ascii="Cambria Math" w:hAnsi="Cambria Math" w:eastAsia="MS Mincho" w:cs="Times New Roman"/>
                <w:bCs/>
                <w:i/>
                <w:color w:val="auto"/>
                <w:kern w:val="0"/>
                <w:sz w:val="24"/>
                <w:szCs w:val="24"/>
                <w:lang w:val="de-DE" w:eastAsia="ja-JP"/>
              </w:rPr>
            </m:ctrlPr>
          </m:num>
          <m:den>
            <m:r>
              <m:rPr/>
              <w:rPr>
                <w:rFonts w:ascii="Cambria Math" w:hAnsi="Cambria Math" w:eastAsia="MS Mincho" w:cs="Times New Roman"/>
                <w:color w:val="auto"/>
                <w:kern w:val="0"/>
                <w:sz w:val="24"/>
                <w:szCs w:val="24"/>
                <w:lang w:val="de-DE" w:eastAsia="ja-JP"/>
              </w:rPr>
              <m:t>8</m:t>
            </m:r>
            <m:sSup>
              <m:sSupPr>
                <m:ctrlPr>
                  <w:rPr>
                    <w:rFonts w:ascii="Cambria Math" w:hAnsi="Cambria Math" w:eastAsia="等线" w:cs="Times New Roman"/>
                    <w:bCs/>
                    <w:i/>
                    <w:color w:val="auto"/>
                    <w:kern w:val="0"/>
                    <w:sz w:val="24"/>
                    <w:szCs w:val="24"/>
                    <w:lang w:val="de-DE"/>
                  </w:rPr>
                </m:ctrlPr>
              </m:sSupPr>
              <m:e>
                <m:r>
                  <m:rPr/>
                  <w:rPr>
                    <w:rFonts w:ascii="Cambria Math" w:hAnsi="Cambria Math" w:eastAsia="等线" w:cs="Times New Roman"/>
                    <w:color w:val="auto"/>
                    <w:kern w:val="0"/>
                    <w:sz w:val="24"/>
                    <w:szCs w:val="24"/>
                    <w:lang w:val="de-DE"/>
                  </w:rPr>
                  <m:t>d</m:t>
                </m:r>
                <m:ctrlPr>
                  <w:rPr>
                    <w:rFonts w:ascii="Cambria Math" w:hAnsi="Cambria Math" w:eastAsia="等线" w:cs="Times New Roman"/>
                    <w:bCs/>
                    <w:i/>
                    <w:color w:val="auto"/>
                    <w:kern w:val="0"/>
                    <w:sz w:val="24"/>
                    <w:szCs w:val="24"/>
                    <w:lang w:val="de-DE"/>
                  </w:rPr>
                </m:ctrlPr>
              </m:e>
              <m:sup>
                <m:r>
                  <m:rPr/>
                  <w:rPr>
                    <w:rFonts w:ascii="Cambria Math" w:hAnsi="Cambria Math" w:eastAsia="等线" w:cs="Times New Roman"/>
                    <w:color w:val="auto"/>
                    <w:kern w:val="0"/>
                    <w:sz w:val="24"/>
                    <w:szCs w:val="24"/>
                    <w:lang w:val="de-DE"/>
                  </w:rPr>
                  <m:t>3</m:t>
                </m:r>
                <m:ctrlPr>
                  <w:rPr>
                    <w:rFonts w:ascii="Cambria Math" w:hAnsi="Cambria Math" w:eastAsia="等线" w:cs="Times New Roman"/>
                    <w:bCs/>
                    <w:i/>
                    <w:color w:val="auto"/>
                    <w:kern w:val="0"/>
                    <w:sz w:val="24"/>
                    <w:szCs w:val="24"/>
                    <w:lang w:val="de-DE"/>
                  </w:rPr>
                </m:ctrlPr>
              </m:sup>
            </m:sSup>
            <m:ctrlPr>
              <w:rPr>
                <w:rFonts w:ascii="Cambria Math" w:hAnsi="Cambria Math" w:eastAsia="MS Mincho" w:cs="Times New Roman"/>
                <w:bCs/>
                <w:i/>
                <w:color w:val="auto"/>
                <w:kern w:val="0"/>
                <w:sz w:val="24"/>
                <w:szCs w:val="24"/>
                <w:lang w:val="de-DE" w:eastAsia="ja-JP"/>
              </w:rPr>
            </m:ctrlPr>
          </m:den>
        </m:f>
      </m:oMath>
      <w:r>
        <w:rPr>
          <w:rFonts w:hint="eastAsia" w:hAnsi="Cambria Math" w:eastAsia="宋体" w:cs="Times New Roman"/>
          <w:bCs/>
          <w:color w:val="auto"/>
          <w:kern w:val="0"/>
          <w:sz w:val="24"/>
          <w:szCs w:val="24"/>
          <w:lang w:val="de-DE"/>
        </w:rPr>
        <w:t>，</w:t>
      </w:r>
      <w:r>
        <w:rPr>
          <w:rFonts w:ascii="Times New Roman" w:hAnsi="Times New Roman" w:eastAsia="等线" w:cs="Times New Roman"/>
          <w:bCs/>
          <w:color w:val="auto"/>
          <w:kern w:val="0"/>
          <w:sz w:val="24"/>
          <w:szCs w:val="24"/>
          <w:lang w:val="de-DE"/>
        </w:rPr>
        <w:t xml:space="preserve">where </w:t>
      </w:r>
      <w:r>
        <w:rPr>
          <w:rFonts w:ascii="Times New Roman" w:hAnsi="Times New Roman" w:eastAsia="MS Mincho" w:cs="Times New Roman"/>
          <w:bCs/>
          <w:i/>
          <w:iCs/>
          <w:color w:val="auto"/>
          <w:kern w:val="0"/>
          <w:sz w:val="24"/>
          <w:szCs w:val="24"/>
          <w:lang w:val="de-DE" w:eastAsia="ja-JP"/>
        </w:rPr>
        <w:t>J</w:t>
      </w:r>
      <w:r>
        <w:rPr>
          <w:rFonts w:ascii="Times New Roman" w:hAnsi="Times New Roman" w:eastAsia="MS Mincho" w:cs="Times New Roman"/>
          <w:bCs/>
          <w:color w:val="auto"/>
          <w:kern w:val="0"/>
          <w:sz w:val="24"/>
          <w:szCs w:val="24"/>
          <w:lang w:val="de-DE" w:eastAsia="ja-JP"/>
        </w:rPr>
        <w:t xml:space="preserve"> is referred current density, </w:t>
      </w:r>
      <w:r>
        <w:rPr>
          <w:rFonts w:ascii="Times New Roman" w:hAnsi="Times New Roman" w:eastAsia="MS Mincho" w:cs="Times New Roman"/>
          <w:bCs/>
          <w:i/>
          <w:iCs/>
          <w:color w:val="auto"/>
          <w:kern w:val="0"/>
          <w:sz w:val="24"/>
          <w:szCs w:val="24"/>
          <w:lang w:val="de-DE" w:eastAsia="ja-JP"/>
        </w:rPr>
        <w:t>ε</w:t>
      </w:r>
      <w:r>
        <w:rPr>
          <w:rFonts w:ascii="Times New Roman" w:hAnsi="Times New Roman" w:eastAsia="MS Mincho" w:cs="Times New Roman"/>
          <w:bCs/>
          <w:color w:val="auto"/>
          <w:kern w:val="0"/>
          <w:sz w:val="24"/>
          <w:szCs w:val="24"/>
          <w:vertAlign w:val="subscript"/>
          <w:lang w:val="de-DE" w:eastAsia="ja-JP"/>
        </w:rPr>
        <w:t>r</w:t>
      </w:r>
      <w:r>
        <w:rPr>
          <w:rFonts w:ascii="Times New Roman" w:hAnsi="Times New Roman" w:eastAsia="MS Mincho" w:cs="Times New Roman"/>
          <w:bCs/>
          <w:color w:val="auto"/>
          <w:kern w:val="0"/>
          <w:sz w:val="24"/>
          <w:szCs w:val="24"/>
          <w:lang w:val="de-DE" w:eastAsia="ja-JP"/>
        </w:rPr>
        <w:t xml:space="preserve"> stands for the relative dielectric constant in the organic photoactive layer (3.00), </w:t>
      </w:r>
      <w:r>
        <w:rPr>
          <w:rFonts w:ascii="Times New Roman" w:hAnsi="Times New Roman" w:eastAsia="MS Mincho" w:cs="Times New Roman"/>
          <w:bCs/>
          <w:i/>
          <w:iCs/>
          <w:color w:val="auto"/>
          <w:kern w:val="0"/>
          <w:sz w:val="24"/>
          <w:szCs w:val="24"/>
          <w:lang w:val="de-DE" w:eastAsia="ja-JP"/>
        </w:rPr>
        <w:t>ε</w:t>
      </w:r>
      <w:r>
        <w:rPr>
          <w:rFonts w:ascii="Times New Roman" w:hAnsi="Times New Roman" w:eastAsia="MS Mincho" w:cs="Times New Roman"/>
          <w:bCs/>
          <w:color w:val="auto"/>
          <w:kern w:val="0"/>
          <w:sz w:val="24"/>
          <w:szCs w:val="24"/>
          <w:vertAlign w:val="subscript"/>
          <w:lang w:val="de-DE" w:eastAsia="ja-JP"/>
        </w:rPr>
        <w:t>0</w:t>
      </w:r>
      <w:r>
        <w:rPr>
          <w:rFonts w:ascii="Times New Roman" w:hAnsi="Times New Roman" w:eastAsia="MS Mincho" w:cs="Times New Roman"/>
          <w:bCs/>
          <w:color w:val="auto"/>
          <w:kern w:val="0"/>
          <w:sz w:val="24"/>
          <w:szCs w:val="24"/>
          <w:lang w:val="de-DE" w:eastAsia="ja-JP"/>
        </w:rPr>
        <w:t xml:space="preserve"> represents the vacuum permittivity of 8.85×10</w:t>
      </w:r>
      <w:r>
        <w:rPr>
          <w:rFonts w:ascii="Times New Roman" w:hAnsi="Times New Roman" w:eastAsia="MS Mincho" w:cs="Times New Roman"/>
          <w:bCs/>
          <w:color w:val="auto"/>
          <w:kern w:val="0"/>
          <w:sz w:val="24"/>
          <w:szCs w:val="24"/>
          <w:vertAlign w:val="superscript"/>
          <w:lang w:val="de-DE" w:eastAsia="ja-JP"/>
        </w:rPr>
        <w:t>−12</w:t>
      </w:r>
      <w:r>
        <w:rPr>
          <w:rFonts w:ascii="Times New Roman" w:hAnsi="Times New Roman" w:eastAsia="MS Mincho" w:cs="Times New Roman"/>
          <w:bCs/>
          <w:color w:val="auto"/>
          <w:kern w:val="0"/>
          <w:sz w:val="24"/>
          <w:szCs w:val="24"/>
          <w:lang w:val="de-DE" w:eastAsia="ja-JP"/>
        </w:rPr>
        <w:t xml:space="preserve"> F</w:t>
      </w:r>
      <w:r>
        <w:rPr>
          <w:rFonts w:ascii="Times New Roman" w:hAnsi="Times New Roman" w:eastAsia="宋体" w:cs="Times New Roman"/>
          <w:bCs/>
          <w:color w:val="auto"/>
          <w:kern w:val="0"/>
          <w:sz w:val="24"/>
          <w:szCs w:val="24"/>
        </w:rPr>
        <w:t xml:space="preserve"> </w:t>
      </w:r>
      <w:r>
        <w:rPr>
          <w:rFonts w:ascii="Times New Roman" w:hAnsi="Times New Roman" w:eastAsia="MS Mincho" w:cs="Times New Roman"/>
          <w:bCs/>
          <w:color w:val="auto"/>
          <w:kern w:val="0"/>
          <w:sz w:val="24"/>
          <w:szCs w:val="24"/>
          <w:lang w:val="de-DE" w:eastAsia="ja-JP"/>
        </w:rPr>
        <w:t>m</w:t>
      </w:r>
      <w:r>
        <w:rPr>
          <w:rFonts w:ascii="Times New Roman" w:hAnsi="Times New Roman" w:eastAsia="MS Mincho" w:cs="Times New Roman"/>
          <w:bCs/>
          <w:color w:val="auto"/>
          <w:kern w:val="0"/>
          <w:sz w:val="24"/>
          <w:szCs w:val="24"/>
          <w:vertAlign w:val="superscript"/>
          <w:lang w:val="de-DE" w:eastAsia="ja-JP"/>
        </w:rPr>
        <w:t>−</w:t>
      </w:r>
      <w:r>
        <w:rPr>
          <w:rFonts w:ascii="Times New Roman" w:hAnsi="Times New Roman" w:eastAsia="宋体" w:cs="Times New Roman"/>
          <w:bCs/>
          <w:color w:val="auto"/>
          <w:kern w:val="0"/>
          <w:sz w:val="24"/>
          <w:szCs w:val="24"/>
          <w:vertAlign w:val="superscript"/>
        </w:rPr>
        <w:t>1</w:t>
      </w:r>
      <w:r>
        <w:rPr>
          <w:rFonts w:ascii="Times New Roman" w:hAnsi="Times New Roman" w:eastAsia="MS Mincho" w:cs="Times New Roman"/>
          <w:bCs/>
          <w:color w:val="auto"/>
          <w:kern w:val="0"/>
          <w:sz w:val="24"/>
          <w:szCs w:val="24"/>
          <w:lang w:val="de-DE" w:eastAsia="ja-JP"/>
        </w:rPr>
        <w:t xml:space="preserve">, </w:t>
      </w:r>
      <w:r>
        <w:rPr>
          <w:rFonts w:ascii="Times New Roman" w:hAnsi="Times New Roman" w:eastAsia="MS Mincho" w:cs="Times New Roman"/>
          <w:bCs/>
          <w:i/>
          <w:iCs/>
          <w:color w:val="auto"/>
          <w:kern w:val="0"/>
          <w:sz w:val="24"/>
          <w:szCs w:val="24"/>
          <w:lang w:val="de-DE" w:eastAsia="ja-JP"/>
        </w:rPr>
        <w:t>d</w:t>
      </w:r>
      <w:r>
        <w:rPr>
          <w:rFonts w:ascii="Times New Roman" w:hAnsi="Times New Roman" w:eastAsia="MS Mincho" w:cs="Times New Roman"/>
          <w:bCs/>
          <w:color w:val="auto"/>
          <w:kern w:val="0"/>
          <w:sz w:val="24"/>
          <w:szCs w:val="24"/>
          <w:lang w:val="de-DE" w:eastAsia="ja-JP"/>
        </w:rPr>
        <w:t xml:space="preserve"> is the </w:t>
      </w:r>
      <w:r>
        <w:rPr>
          <w:rFonts w:ascii="Times New Roman" w:hAnsi="Times New Roman" w:eastAsia="宋体" w:cs="Times New Roman"/>
          <w:bCs/>
          <w:color w:val="auto"/>
          <w:kern w:val="0"/>
          <w:sz w:val="24"/>
          <w:szCs w:val="24"/>
        </w:rPr>
        <w:t>organic</w:t>
      </w:r>
      <w:r>
        <w:rPr>
          <w:rFonts w:ascii="Times New Roman" w:hAnsi="Times New Roman" w:eastAsia="MS Mincho" w:cs="Times New Roman"/>
          <w:bCs/>
          <w:color w:val="auto"/>
          <w:kern w:val="0"/>
          <w:sz w:val="24"/>
          <w:szCs w:val="24"/>
          <w:lang w:val="de-DE" w:eastAsia="ja-JP"/>
        </w:rPr>
        <w:t xml:space="preserve"> layer thickness (1</w:t>
      </w:r>
      <w:r>
        <w:rPr>
          <w:rFonts w:hint="eastAsia" w:ascii="Times New Roman" w:hAnsi="Times New Roman" w:eastAsia="宋体" w:cs="Times New Roman"/>
          <w:bCs/>
          <w:color w:val="auto"/>
          <w:kern w:val="0"/>
          <w:sz w:val="24"/>
          <w:szCs w:val="24"/>
        </w:rPr>
        <w:t>0</w:t>
      </w:r>
      <w:r>
        <w:rPr>
          <w:rFonts w:ascii="Times New Roman" w:hAnsi="Times New Roman" w:eastAsia="宋体" w:cs="Times New Roman"/>
          <w:bCs/>
          <w:color w:val="auto"/>
          <w:kern w:val="0"/>
          <w:sz w:val="24"/>
          <w:szCs w:val="24"/>
        </w:rPr>
        <w:t>0</w:t>
      </w:r>
      <w:r>
        <w:rPr>
          <w:rFonts w:ascii="Times New Roman" w:hAnsi="Times New Roman" w:eastAsia="MS Mincho" w:cs="Times New Roman"/>
          <w:bCs/>
          <w:color w:val="auto"/>
          <w:kern w:val="0"/>
          <w:sz w:val="24"/>
          <w:szCs w:val="24"/>
          <w:lang w:val="de-DE" w:eastAsia="ja-JP"/>
        </w:rPr>
        <w:t xml:space="preserve"> nm), </w:t>
      </w:r>
      <w:r>
        <w:rPr>
          <w:rFonts w:ascii="Times New Roman" w:hAnsi="Times New Roman" w:eastAsia="MS Mincho" w:cs="Times New Roman"/>
          <w:bCs/>
          <w:i/>
          <w:iCs/>
          <w:color w:val="auto"/>
          <w:kern w:val="0"/>
          <w:sz w:val="24"/>
          <w:szCs w:val="24"/>
          <w:lang w:val="de-DE" w:eastAsia="ja-JP"/>
        </w:rPr>
        <w:t>V</w:t>
      </w:r>
      <w:r>
        <w:rPr>
          <w:rFonts w:ascii="Times New Roman" w:hAnsi="Times New Roman" w:eastAsia="MS Mincho" w:cs="Times New Roman"/>
          <w:bCs/>
          <w:color w:val="auto"/>
          <w:kern w:val="0"/>
          <w:sz w:val="24"/>
          <w:szCs w:val="24"/>
          <w:lang w:val="de-DE" w:eastAsia="ja-JP"/>
        </w:rPr>
        <w:t xml:space="preserve"> is the applied voltage, </w:t>
      </w:r>
      <w:r>
        <w:rPr>
          <w:rFonts w:ascii="Times New Roman" w:hAnsi="Times New Roman" w:eastAsia="等线" w:cs="Times New Roman"/>
          <w:bCs/>
          <w:color w:val="auto"/>
          <w:kern w:val="0"/>
          <w:sz w:val="24"/>
          <w:szCs w:val="24"/>
          <w:lang w:val="de-DE"/>
        </w:rPr>
        <w:t xml:space="preserve">and </w:t>
      </w:r>
      <w:r>
        <w:rPr>
          <w:rFonts w:ascii="Times New Roman" w:hAnsi="Times New Roman" w:eastAsia="MS Mincho" w:cs="Times New Roman"/>
          <w:bCs/>
          <w:i/>
          <w:iCs/>
          <w:color w:val="auto"/>
          <w:kern w:val="0"/>
          <w:sz w:val="24"/>
          <w:szCs w:val="24"/>
          <w:lang w:val="de-DE" w:eastAsia="ja-JP"/>
        </w:rPr>
        <w:t>μ</w:t>
      </w:r>
      <w:r>
        <w:rPr>
          <w:rFonts w:ascii="Times New Roman" w:hAnsi="Times New Roman" w:eastAsia="MS Mincho" w:cs="Times New Roman"/>
          <w:bCs/>
          <w:color w:val="auto"/>
          <w:kern w:val="0"/>
          <w:sz w:val="24"/>
          <w:szCs w:val="24"/>
          <w:lang w:val="de-DE" w:eastAsia="ja-JP"/>
        </w:rPr>
        <w:t xml:space="preserve"> expresses mobility.</w:t>
      </w:r>
      <w:r>
        <w:rPr>
          <w:rFonts w:ascii="Times New Roman" w:hAnsi="Times New Roman" w:eastAsia="宋体" w:cs="Times New Roman"/>
          <w:bCs/>
          <w:color w:val="auto"/>
          <w:kern w:val="0"/>
          <w:sz w:val="24"/>
          <w:szCs w:val="24"/>
        </w:rPr>
        <w:t xml:space="preserve"> </w:t>
      </w:r>
    </w:p>
    <w:p w14:paraId="16AD403C">
      <w:pPr>
        <w:spacing w:line="360" w:lineRule="auto"/>
        <w:rPr>
          <w:rFonts w:ascii="Times New Roman" w:hAnsi="Times New Roman" w:eastAsia="MS Mincho" w:cs="Times New Roman"/>
          <w:color w:val="auto"/>
          <w:kern w:val="0"/>
          <w:sz w:val="24"/>
          <w:szCs w:val="24"/>
          <w:lang w:val="de-DE" w:eastAsia="ja-JP"/>
        </w:rPr>
      </w:pPr>
    </w:p>
    <w:p w14:paraId="0F8601D6">
      <w:pPr>
        <w:spacing w:line="360" w:lineRule="auto"/>
        <w:rPr>
          <w:rFonts w:ascii="Times New Roman" w:hAnsi="Times New Roman" w:eastAsia="Times New Roman" w:cs="Times New Roman"/>
          <w:snapToGrid w:val="0"/>
          <w:color w:val="auto"/>
          <w:kern w:val="0"/>
          <w:sz w:val="24"/>
          <w:szCs w:val="24"/>
          <w:lang w:bidi="en-US"/>
        </w:rPr>
      </w:pPr>
      <w:r>
        <w:rPr>
          <w:rFonts w:ascii="Times New Roman" w:hAnsi="Times New Roman" w:eastAsia="宋体"/>
          <w:b/>
          <w:color w:val="auto"/>
          <w:sz w:val="24"/>
          <w:szCs w:val="24"/>
        </w:rPr>
        <w:t>Transient photovoltage (TPV) and transient photocurrent (TPC) measurements</w:t>
      </w:r>
      <w:r>
        <w:rPr>
          <w:rFonts w:hint="eastAsia" w:ascii="Times New Roman" w:hAnsi="Times New Roman" w:eastAsia="宋体"/>
          <w:b/>
          <w:color w:val="auto"/>
          <w:sz w:val="24"/>
          <w:szCs w:val="24"/>
        </w:rPr>
        <w:t>:</w:t>
      </w:r>
      <w:r>
        <w:rPr>
          <w:rFonts w:ascii="Times New Roman" w:hAnsi="Times New Roman" w:eastAsia="宋体"/>
          <w:b/>
          <w:color w:val="auto"/>
          <w:sz w:val="24"/>
          <w:szCs w:val="24"/>
        </w:rPr>
        <w:t xml:space="preserve"> </w:t>
      </w:r>
      <w:r>
        <w:rPr>
          <w:rFonts w:hint="eastAsia" w:ascii="Times New Roman" w:hAnsi="Times New Roman" w:cs="Times New Roman"/>
          <w:color w:val="auto"/>
          <w:sz w:val="24"/>
          <w:szCs w:val="24"/>
        </w:rPr>
        <w:t xml:space="preserve"> </w:t>
      </w:r>
      <w:bookmarkStart w:id="9" w:name="_Hlk204084602"/>
      <w:r>
        <w:rPr>
          <w:rFonts w:hint="eastAsia" w:ascii="Times New Roman" w:hAnsi="Times New Roman" w:cs="Times New Roman"/>
          <w:color w:val="auto"/>
          <w:sz w:val="24"/>
          <w:szCs w:val="24"/>
        </w:rPr>
        <w:t>In TPV measurements, the OSCs devices were maintained under background light bias using a focused quartz tungsten-halogen lamp with an intensity comparable to operational conditions (i.e., achieving a device voltage matching the open-circuit voltage under solar illumination). Photoexcitation was generated by 8 ns pulses from a laser system (Oriental Spectra, NLD520) tuned to 518 nm wavelength with a spectral width of 3 nm. The TPV signals were recorded at open-circuit conditions using a digital oscilloscope. For TPC measurements, signals were acquired under short-circuit conditions using the same excitation wavelength but without background light bias.</w:t>
      </w:r>
      <w:bookmarkEnd w:id="9"/>
    </w:p>
    <w:p w14:paraId="23011F86">
      <w:pPr>
        <w:spacing w:line="360" w:lineRule="auto"/>
        <w:rPr>
          <w:rFonts w:ascii="Times New Roman" w:hAnsi="Times New Roman" w:eastAsia="宋体"/>
          <w:color w:val="auto"/>
          <w:sz w:val="24"/>
          <w:szCs w:val="24"/>
        </w:rPr>
      </w:pPr>
    </w:p>
    <w:p w14:paraId="7D2314AB">
      <w:pPr>
        <w:pStyle w:val="24"/>
        <w:spacing w:beforeLines="0" w:after="0"/>
        <w:ind w:firstLine="0" w:firstLineChars="0"/>
        <w:jc w:val="both"/>
        <w:rPr>
          <w:rFonts w:ascii="Times New Roman" w:hAnsi="Times New Roman"/>
          <w:bCs/>
          <w:color w:val="auto"/>
        </w:rPr>
      </w:pPr>
      <w:r>
        <w:rPr>
          <w:rFonts w:ascii="Times New Roman" w:hAnsi="Times New Roman"/>
          <w:b/>
          <w:color w:val="auto"/>
        </w:rPr>
        <w:t xml:space="preserve">Deep level transient spectroscopy </w:t>
      </w:r>
      <w:r>
        <w:rPr>
          <w:rFonts w:hint="eastAsia" w:ascii="Times New Roman" w:hAnsi="Times New Roman"/>
          <w:b/>
          <w:color w:val="auto"/>
          <w:lang w:eastAsia="zh-CN"/>
        </w:rPr>
        <w:t>measurement (DLTS)</w:t>
      </w:r>
      <w:r>
        <w:rPr>
          <w:rFonts w:hint="eastAsia" w:ascii="Times New Roman" w:hAnsi="Times New Roman"/>
          <w:bCs/>
          <w:color w:val="auto"/>
          <w:lang w:eastAsia="zh-CN"/>
        </w:rPr>
        <w:t>: DLTS</w:t>
      </w:r>
      <w:r>
        <w:rPr>
          <w:rFonts w:ascii="Times New Roman" w:hAnsi="Times New Roman"/>
          <w:bCs/>
          <w:color w:val="auto"/>
        </w:rPr>
        <w:t xml:space="preserve"> was performed using a current-based simulation method. The transient current response was analyzed by applying a negative pressure -3</w:t>
      </w:r>
      <w:r>
        <w:rPr>
          <w:rFonts w:hint="eastAsia" w:ascii="Times New Roman" w:hAnsi="Times New Roman"/>
          <w:bCs/>
          <w:color w:val="auto"/>
          <w:lang w:eastAsia="zh-CN"/>
        </w:rPr>
        <w:t xml:space="preserve"> </w:t>
      </w:r>
      <w:r>
        <w:rPr>
          <w:rFonts w:ascii="Times New Roman" w:hAnsi="Times New Roman"/>
          <w:bCs/>
          <w:color w:val="auto"/>
        </w:rPr>
        <w:t>V to the device in the dark. The transient current reached its maximum response at t</w:t>
      </w:r>
      <w:r>
        <w:rPr>
          <w:rFonts w:hint="eastAsia" w:ascii="Times New Roman" w:hAnsi="Times New Roman"/>
          <w:bCs/>
          <w:color w:val="auto"/>
          <w:lang w:eastAsia="zh-CN"/>
        </w:rPr>
        <w:t xml:space="preserve"> </w:t>
      </w:r>
      <w:r>
        <w:rPr>
          <w:rFonts w:ascii="Times New Roman" w:hAnsi="Times New Roman"/>
          <w:bCs/>
          <w:color w:val="auto"/>
        </w:rPr>
        <w:t>=</w:t>
      </w:r>
      <w:r>
        <w:rPr>
          <w:rFonts w:hint="eastAsia" w:ascii="Times New Roman" w:hAnsi="Times New Roman"/>
          <w:bCs/>
          <w:color w:val="auto"/>
          <w:lang w:eastAsia="zh-CN"/>
        </w:rPr>
        <w:t xml:space="preserve"> </w:t>
      </w:r>
      <w:r>
        <w:rPr>
          <w:rFonts w:ascii="Times New Roman" w:hAnsi="Times New Roman"/>
          <w:bCs/>
          <w:color w:val="auto"/>
        </w:rPr>
        <w:t xml:space="preserve">0.1s regardless of the bias voltage, with the peak gradually rising at 0.1s as the bias voltage increased. In addition to the displacement current generated by the circuit, there is also the current emitted by the discrete energy trap. The following equation was used to estimate the defect distributions in organic semiconductors. Considering the dependence of carrier transport position in the device, the current peak in the first 0.1 μs is mainly caused by the displacement current, so the fitting of 0.1 ~ 10 μs at room temperature dominated. The trapped defect state volume density </w:t>
      </w:r>
      <w:r>
        <w:rPr>
          <w:rFonts w:ascii="Times New Roman" w:hAnsi="Times New Roman"/>
          <w:bCs/>
          <w:i/>
          <w:iCs/>
          <w:color w:val="auto"/>
        </w:rPr>
        <w:t>N</w:t>
      </w:r>
      <w:r>
        <w:rPr>
          <w:rFonts w:ascii="Times New Roman" w:hAnsi="Times New Roman"/>
          <w:bCs/>
          <w:color w:val="auto"/>
          <w:vertAlign w:val="subscript"/>
        </w:rPr>
        <w:t>t</w:t>
      </w:r>
      <w:r>
        <w:rPr>
          <w:rFonts w:ascii="Times New Roman" w:hAnsi="Times New Roman"/>
          <w:bCs/>
          <w:color w:val="auto"/>
        </w:rPr>
        <w:t xml:space="preserve"> of the discrete energy trap can be expressed as:</w:t>
      </w:r>
    </w:p>
    <w:p w14:paraId="45DCDEC7">
      <w:pPr>
        <w:pStyle w:val="24"/>
        <w:spacing w:before="156" w:beforeLines="50" w:after="156" w:afterLines="50"/>
        <w:ind w:firstLine="0" w:firstLineChars="0"/>
        <w:rPr>
          <w:rFonts w:ascii="Times New Roman" w:hAnsi="Times New Roman"/>
          <w:color w:val="auto"/>
        </w:rPr>
      </w:pPr>
      <m:oMathPara>
        <m:oMath>
          <m:sSub>
            <w:bookmarkStart w:id="10" w:name="_Hlk177580381"/>
            <m:sSubPr>
              <m:ctrlPr>
                <w:rPr>
                  <w:rFonts w:ascii="Cambria Math" w:hAnsi="Cambria Math"/>
                  <w:color w:val="auto"/>
                </w:rPr>
              </m:ctrlPr>
            </m:sSubPr>
            <m:e>
              <m:r>
                <m:rPr/>
                <w:rPr>
                  <w:rFonts w:ascii="Cambria Math" w:hAnsi="Cambria Math"/>
                  <w:color w:val="auto"/>
                </w:rPr>
                <m:t>j</m:t>
              </m:r>
              <m:ctrlPr>
                <w:rPr>
                  <w:rFonts w:ascii="Cambria Math" w:hAnsi="Cambria Math"/>
                  <w:color w:val="auto"/>
                </w:rPr>
              </m:ctrlPr>
            </m:e>
            <m:sub>
              <m:r>
                <m:rPr/>
                <w:rPr>
                  <w:rFonts w:ascii="Cambria Math" w:hAnsi="Cambria Math"/>
                  <w:color w:val="auto"/>
                </w:rPr>
                <m:t>te</m:t>
              </m:r>
              <m:ctrlPr>
                <w:rPr>
                  <w:rFonts w:ascii="Cambria Math" w:hAnsi="Cambria Math"/>
                  <w:color w:val="auto"/>
                </w:rPr>
              </m:ctrlPr>
            </m:sub>
          </m:sSub>
          <m:d>
            <m:dPr>
              <m:ctrlPr>
                <w:rPr>
                  <w:rFonts w:ascii="Cambria Math" w:hAnsi="Cambria Math"/>
                  <w:color w:val="auto"/>
                </w:rPr>
              </m:ctrlPr>
            </m:dPr>
            <m:e>
              <m:r>
                <m:rPr>
                  <m:sty m:val="p"/>
                </m:rPr>
                <w:rPr>
                  <w:rFonts w:ascii="Cambria Math" w:hAnsi="Cambria Math"/>
                  <w:color w:val="auto"/>
                </w:rPr>
                <m:t>t</m:t>
              </m:r>
              <m:ctrlPr>
                <w:rPr>
                  <w:rFonts w:ascii="Cambria Math" w:hAnsi="Cambria Math"/>
                  <w:color w:val="auto"/>
                </w:rPr>
              </m:ctrlPr>
            </m:e>
          </m:d>
          <m:r>
            <m:rPr>
              <m:sty m:val="p"/>
            </m:rPr>
            <w:rPr>
              <w:rFonts w:ascii="Cambria Math" w:hAnsi="Cambria Math"/>
              <w:color w:val="auto"/>
            </w:rPr>
            <m:t>=2 ×</m:t>
          </m:r>
          <m:f>
            <m:fPr>
              <m:ctrlPr>
                <w:rPr>
                  <w:rFonts w:ascii="Cambria Math" w:hAnsi="Cambria Math"/>
                  <w:color w:val="auto"/>
                </w:rPr>
              </m:ctrlPr>
            </m:fPr>
            <m:num>
              <m:r>
                <m:rPr/>
                <w:rPr>
                  <w:rFonts w:ascii="Cambria Math" w:hAnsi="Cambria Math"/>
                  <w:color w:val="auto"/>
                </w:rPr>
                <m:t>1</m:t>
              </m:r>
              <m:ctrlPr>
                <w:rPr>
                  <w:rFonts w:ascii="Cambria Math" w:hAnsi="Cambria Math"/>
                  <w:color w:val="auto"/>
                </w:rPr>
              </m:ctrlPr>
            </m:num>
            <m:den>
              <m:sSub>
                <m:sSubPr>
                  <m:ctrlPr>
                    <w:rPr>
                      <w:rFonts w:ascii="Cambria Math" w:hAnsi="Cambria Math"/>
                      <w:i/>
                      <w:color w:val="auto"/>
                    </w:rPr>
                  </m:ctrlPr>
                </m:sSubPr>
                <m:e>
                  <m:r>
                    <m:rPr/>
                    <w:rPr>
                      <w:rFonts w:ascii="Cambria Math" w:hAnsi="Cambria Math"/>
                      <w:color w:val="auto"/>
                    </w:rPr>
                    <m:t>τ</m:t>
                  </m:r>
                  <m:ctrlPr>
                    <w:rPr>
                      <w:rFonts w:ascii="Cambria Math" w:hAnsi="Cambria Math"/>
                      <w:i/>
                      <w:color w:val="auto"/>
                    </w:rPr>
                  </m:ctrlPr>
                </m:e>
                <m:sub>
                  <m:r>
                    <m:rPr/>
                    <w:rPr>
                      <w:rFonts w:ascii="Cambria Math" w:hAnsi="Cambria Math"/>
                      <w:color w:val="auto"/>
                    </w:rPr>
                    <m:t>te</m:t>
                  </m:r>
                  <m:ctrlPr>
                    <w:rPr>
                      <w:rFonts w:ascii="Cambria Math" w:hAnsi="Cambria Math"/>
                      <w:i/>
                      <w:color w:val="auto"/>
                    </w:rPr>
                  </m:ctrlPr>
                </m:sub>
              </m:sSub>
              <m:ctrlPr>
                <w:rPr>
                  <w:rFonts w:ascii="Cambria Math" w:hAnsi="Cambria Math"/>
                  <w:color w:val="auto"/>
                </w:rPr>
              </m:ctrlPr>
            </m:den>
          </m:f>
          <m:r>
            <m:rPr>
              <m:sty m:val="p"/>
            </m:rPr>
            <w:rPr>
              <w:rFonts w:ascii="Cambria Math" w:hAnsi="Cambria Math"/>
              <w:color w:val="auto"/>
            </w:rPr>
            <m:t>×q×d×</m:t>
          </m:r>
          <m:sSub>
            <m:sSubPr>
              <m:ctrlPr>
                <w:rPr>
                  <w:rFonts w:ascii="Cambria Math" w:hAnsi="Cambria Math"/>
                  <w:color w:val="auto"/>
                </w:rPr>
              </m:ctrlPr>
            </m:sSubPr>
            <m:e>
              <m:r>
                <m:rPr/>
                <w:rPr>
                  <w:rFonts w:ascii="Cambria Math" w:hAnsi="Cambria Math"/>
                  <w:color w:val="auto"/>
                </w:rPr>
                <m:t>N</m:t>
              </m:r>
              <m:ctrlPr>
                <w:rPr>
                  <w:rFonts w:ascii="Cambria Math" w:hAnsi="Cambria Math"/>
                  <w:color w:val="auto"/>
                </w:rPr>
              </m:ctrlPr>
            </m:e>
            <m:sub>
              <m:r>
                <m:rPr/>
                <w:rPr>
                  <w:rFonts w:ascii="Cambria Math" w:hAnsi="Cambria Math"/>
                  <w:color w:val="auto"/>
                </w:rPr>
                <m:t>t</m:t>
              </m:r>
              <m:ctrlPr>
                <w:rPr>
                  <w:rFonts w:ascii="Cambria Math" w:hAnsi="Cambria Math"/>
                  <w:color w:val="auto"/>
                </w:rPr>
              </m:ctrlPr>
            </m:sub>
          </m:sSub>
          <m:r>
            <m:rPr>
              <m:sty m:val="p"/>
            </m:rPr>
            <w:rPr>
              <w:rFonts w:ascii="Cambria Math" w:hAnsi="Cambria Math"/>
              <w:color w:val="auto"/>
            </w:rPr>
            <m:t>×exp⁡(−</m:t>
          </m:r>
          <m:f>
            <m:fPr>
              <m:ctrlPr>
                <w:rPr>
                  <w:rFonts w:ascii="Cambria Math" w:hAnsi="Cambria Math"/>
                  <w:color w:val="auto"/>
                </w:rPr>
              </m:ctrlPr>
            </m:fPr>
            <m:num>
              <m:r>
                <m:rPr/>
                <w:rPr>
                  <w:rFonts w:ascii="Cambria Math" w:hAnsi="Cambria Math"/>
                  <w:color w:val="auto"/>
                </w:rPr>
                <m:t>t</m:t>
              </m:r>
              <m:ctrlPr>
                <w:rPr>
                  <w:rFonts w:ascii="Cambria Math" w:hAnsi="Cambria Math"/>
                  <w:color w:val="auto"/>
                </w:rPr>
              </m:ctrlPr>
            </m:num>
            <m:den>
              <m:sSub>
                <m:sSubPr>
                  <m:ctrlPr>
                    <w:rPr>
                      <w:rFonts w:ascii="Cambria Math" w:hAnsi="Cambria Math"/>
                      <w:i/>
                      <w:color w:val="auto"/>
                    </w:rPr>
                  </m:ctrlPr>
                </m:sSubPr>
                <m:e>
                  <m:r>
                    <m:rPr/>
                    <w:rPr>
                      <w:rFonts w:ascii="Cambria Math" w:hAnsi="Cambria Math"/>
                      <w:color w:val="auto"/>
                    </w:rPr>
                    <m:t>τ</m:t>
                  </m:r>
                  <m:ctrlPr>
                    <w:rPr>
                      <w:rFonts w:ascii="Cambria Math" w:hAnsi="Cambria Math"/>
                      <w:i/>
                      <w:color w:val="auto"/>
                    </w:rPr>
                  </m:ctrlPr>
                </m:e>
                <m:sub>
                  <m:r>
                    <m:rPr/>
                    <w:rPr>
                      <w:rFonts w:ascii="Cambria Math" w:hAnsi="Cambria Math"/>
                      <w:color w:val="auto"/>
                    </w:rPr>
                    <m:t>te</m:t>
                  </m:r>
                  <m:ctrlPr>
                    <w:rPr>
                      <w:rFonts w:ascii="Cambria Math" w:hAnsi="Cambria Math"/>
                      <w:i/>
                      <w:color w:val="auto"/>
                    </w:rPr>
                  </m:ctrlPr>
                </m:sub>
              </m:sSub>
              <m:ctrlPr>
                <w:rPr>
                  <w:rFonts w:ascii="Cambria Math" w:hAnsi="Cambria Math"/>
                  <w:color w:val="auto"/>
                </w:rPr>
              </m:ctrlPr>
            </m:den>
          </m:f>
          <m:r>
            <m:rPr>
              <m:sty m:val="p"/>
            </m:rPr>
            <w:rPr>
              <w:rFonts w:ascii="Cambria Math" w:hAnsi="Cambria Math"/>
              <w:color w:val="auto"/>
            </w:rPr>
            <m:t>)</m:t>
          </m:r>
        </m:oMath>
      </m:oMathPara>
    </w:p>
    <w:bookmarkEnd w:id="10"/>
    <w:p w14:paraId="455B5F78">
      <w:pPr>
        <w:adjustRightInd w:val="0"/>
        <w:snapToGrid w:val="0"/>
        <w:spacing w:line="360" w:lineRule="auto"/>
        <w:rPr>
          <w:rFonts w:ascii="Times New Roman" w:hAnsi="Times New Roman"/>
          <w:bCs/>
          <w:color w:val="auto"/>
          <w:sz w:val="24"/>
          <w:szCs w:val="28"/>
        </w:rPr>
      </w:pPr>
      <w:bookmarkStart w:id="11" w:name="_Hlk177580403"/>
      <w:r>
        <w:rPr>
          <w:rFonts w:ascii="Times New Roman" w:hAnsi="Times New Roman"/>
          <w:bCs/>
          <w:color w:val="auto"/>
          <w:sz w:val="24"/>
          <w:szCs w:val="28"/>
        </w:rPr>
        <w:t>where</w:t>
      </w:r>
      <m:oMath>
        <m:r>
          <m:rPr/>
          <w:rPr>
            <w:rFonts w:ascii="Cambria Math" w:hAnsi="Cambria Math"/>
            <w:color w:val="auto"/>
            <w:sz w:val="24"/>
            <w:szCs w:val="28"/>
          </w:rPr>
          <m:t xml:space="preserve"> </m:t>
        </m:r>
        <m:sSub>
          <m:sSubPr>
            <m:ctrlPr>
              <w:rPr>
                <w:rFonts w:ascii="Cambria Math" w:hAnsi="Cambria Math"/>
                <w:color w:val="auto"/>
                <w:sz w:val="24"/>
                <w:szCs w:val="28"/>
              </w:rPr>
            </m:ctrlPr>
          </m:sSubPr>
          <m:e>
            <m:r>
              <m:rPr/>
              <w:rPr>
                <w:rFonts w:ascii="Cambria Math" w:hAnsi="Cambria Math"/>
                <w:color w:val="auto"/>
                <w:sz w:val="24"/>
                <w:szCs w:val="28"/>
              </w:rPr>
              <m:t>j</m:t>
            </m:r>
            <m:ctrlPr>
              <w:rPr>
                <w:rFonts w:ascii="Cambria Math" w:hAnsi="Cambria Math"/>
                <w:color w:val="auto"/>
                <w:sz w:val="24"/>
                <w:szCs w:val="28"/>
              </w:rPr>
            </m:ctrlPr>
          </m:e>
          <m:sub>
            <m:r>
              <m:rPr/>
              <w:rPr>
                <w:rFonts w:ascii="Cambria Math" w:hAnsi="Cambria Math"/>
                <w:color w:val="auto"/>
                <w:sz w:val="24"/>
                <w:szCs w:val="28"/>
              </w:rPr>
              <m:t>te</m:t>
            </m:r>
            <m:ctrlPr>
              <w:rPr>
                <w:rFonts w:ascii="Cambria Math" w:hAnsi="Cambria Math"/>
                <w:color w:val="auto"/>
                <w:sz w:val="24"/>
                <w:szCs w:val="28"/>
              </w:rPr>
            </m:ctrlPr>
          </m:sub>
        </m:sSub>
        <m:d>
          <m:dPr>
            <m:ctrlPr>
              <w:rPr>
                <w:rFonts w:ascii="Cambria Math" w:hAnsi="Cambria Math"/>
                <w:color w:val="auto"/>
                <w:sz w:val="24"/>
                <w:szCs w:val="28"/>
              </w:rPr>
            </m:ctrlPr>
          </m:dPr>
          <m:e>
            <m:r>
              <m:rPr>
                <m:sty m:val="p"/>
              </m:rPr>
              <w:rPr>
                <w:rFonts w:ascii="Cambria Math" w:hAnsi="Cambria Math"/>
                <w:color w:val="auto"/>
                <w:sz w:val="24"/>
                <w:szCs w:val="28"/>
              </w:rPr>
              <m:t>t</m:t>
            </m:r>
            <m:ctrlPr>
              <w:rPr>
                <w:rFonts w:ascii="Cambria Math" w:hAnsi="Cambria Math"/>
                <w:color w:val="auto"/>
                <w:sz w:val="24"/>
                <w:szCs w:val="28"/>
              </w:rPr>
            </m:ctrlPr>
          </m:e>
        </m:d>
      </m:oMath>
      <w:r>
        <w:rPr>
          <w:rFonts w:ascii="Times New Roman" w:hAnsi="Times New Roman"/>
          <w:bCs/>
          <w:color w:val="auto"/>
          <w:sz w:val="24"/>
          <w:szCs w:val="28"/>
        </w:rPr>
        <w:t xml:space="preserve"> is the trap emission current, </w:t>
      </w:r>
      <m:oMath>
        <m:sSub>
          <m:sSubPr>
            <m:ctrlPr>
              <w:rPr>
                <w:rFonts w:ascii="Cambria Math" w:hAnsi="Cambria Math"/>
                <w:i/>
                <w:color w:val="auto"/>
                <w:sz w:val="24"/>
                <w:szCs w:val="28"/>
              </w:rPr>
            </m:ctrlPr>
          </m:sSubPr>
          <m:e>
            <m:r>
              <m:rPr/>
              <w:rPr>
                <w:rFonts w:ascii="Cambria Math" w:hAnsi="Cambria Math"/>
                <w:color w:val="auto"/>
                <w:sz w:val="24"/>
                <w:szCs w:val="28"/>
              </w:rPr>
              <m:t>τ</m:t>
            </m:r>
            <m:ctrlPr>
              <w:rPr>
                <w:rFonts w:ascii="Cambria Math" w:hAnsi="Cambria Math"/>
                <w:i/>
                <w:color w:val="auto"/>
                <w:sz w:val="24"/>
                <w:szCs w:val="28"/>
              </w:rPr>
            </m:ctrlPr>
          </m:e>
          <m:sub>
            <m:r>
              <m:rPr/>
              <w:rPr>
                <w:rFonts w:ascii="Cambria Math" w:hAnsi="Cambria Math"/>
                <w:color w:val="auto"/>
                <w:sz w:val="24"/>
                <w:szCs w:val="28"/>
              </w:rPr>
              <m:t>te</m:t>
            </m:r>
            <m:ctrlPr>
              <w:rPr>
                <w:rFonts w:ascii="Cambria Math" w:hAnsi="Cambria Math"/>
                <w:i/>
                <w:color w:val="auto"/>
                <w:sz w:val="24"/>
                <w:szCs w:val="28"/>
              </w:rPr>
            </m:ctrlPr>
          </m:sub>
        </m:sSub>
      </m:oMath>
      <w:r>
        <w:rPr>
          <w:rFonts w:ascii="Times New Roman" w:hAnsi="Times New Roman"/>
          <w:bCs/>
          <w:color w:val="auto"/>
          <w:sz w:val="24"/>
          <w:szCs w:val="28"/>
        </w:rPr>
        <w:t xml:space="preserve"> the catch-trap emission time constant, </w:t>
      </w:r>
      <w:r>
        <w:rPr>
          <w:rFonts w:ascii="Times New Roman" w:hAnsi="Times New Roman"/>
          <w:bCs/>
          <w:i/>
          <w:iCs/>
          <w:color w:val="auto"/>
          <w:sz w:val="24"/>
          <w:szCs w:val="28"/>
        </w:rPr>
        <w:t>q</w:t>
      </w:r>
      <w:r>
        <w:rPr>
          <w:rFonts w:ascii="Times New Roman" w:hAnsi="Times New Roman"/>
          <w:bCs/>
          <w:color w:val="auto"/>
          <w:sz w:val="24"/>
          <w:szCs w:val="28"/>
        </w:rPr>
        <w:t xml:space="preserve"> the elementary charge, </w:t>
      </w:r>
      <w:r>
        <w:rPr>
          <w:rFonts w:ascii="Times New Roman" w:hAnsi="Times New Roman"/>
          <w:bCs/>
          <w:i/>
          <w:iCs/>
          <w:color w:val="auto"/>
          <w:sz w:val="24"/>
          <w:szCs w:val="28"/>
        </w:rPr>
        <w:t>d</w:t>
      </w:r>
      <w:r>
        <w:rPr>
          <w:rFonts w:ascii="Times New Roman" w:hAnsi="Times New Roman"/>
          <w:bCs/>
          <w:color w:val="auto"/>
          <w:sz w:val="24"/>
          <w:szCs w:val="28"/>
        </w:rPr>
        <w:t xml:space="preserve"> the film thickness, and </w:t>
      </w:r>
      <w:r>
        <w:rPr>
          <w:rFonts w:ascii="Times New Roman" w:hAnsi="Times New Roman"/>
          <w:bCs/>
          <w:i/>
          <w:iCs/>
          <w:color w:val="auto"/>
          <w:sz w:val="24"/>
          <w:szCs w:val="28"/>
        </w:rPr>
        <w:t>N</w:t>
      </w:r>
      <w:r>
        <w:rPr>
          <w:rFonts w:ascii="Times New Roman" w:hAnsi="Times New Roman"/>
          <w:bCs/>
          <w:i/>
          <w:iCs/>
          <w:color w:val="auto"/>
          <w:sz w:val="24"/>
          <w:szCs w:val="28"/>
          <w:vertAlign w:val="subscript"/>
        </w:rPr>
        <w:t>t</w:t>
      </w:r>
      <w:r>
        <w:rPr>
          <w:rFonts w:ascii="Times New Roman" w:hAnsi="Times New Roman"/>
          <w:bCs/>
          <w:color w:val="auto"/>
          <w:sz w:val="24"/>
          <w:szCs w:val="28"/>
        </w:rPr>
        <w:t xml:space="preserve"> the trap state density.</w:t>
      </w:r>
    </w:p>
    <w:bookmarkEnd w:id="11"/>
    <w:p w14:paraId="5D6A5D00">
      <w:pPr>
        <w:spacing w:line="360" w:lineRule="auto"/>
        <w:rPr>
          <w:rFonts w:ascii="Times New Roman" w:hAnsi="Times New Roman" w:eastAsia="宋体"/>
          <w:b/>
          <w:color w:val="auto"/>
          <w:sz w:val="24"/>
          <w:szCs w:val="24"/>
        </w:rPr>
      </w:pPr>
    </w:p>
    <w:p w14:paraId="547EC41B">
      <w:pPr>
        <w:autoSpaceDE w:val="0"/>
        <w:spacing w:line="360" w:lineRule="auto"/>
        <w:rPr>
          <w:rFonts w:ascii="Times New Roman" w:hAnsi="Times New Roman" w:eastAsia="Times New Roman" w:cs="Times New Roman"/>
          <w:color w:val="auto"/>
          <w:kern w:val="0"/>
          <w:sz w:val="24"/>
          <w:szCs w:val="24"/>
          <w:lang w:eastAsia="de-DE" w:bidi="en-US"/>
        </w:rPr>
      </w:pPr>
      <w:r>
        <w:rPr>
          <w:rFonts w:ascii="Times New Roman" w:hAnsi="Times New Roman" w:eastAsia="宋体" w:cs="Times New Roman"/>
          <w:b/>
          <w:bCs/>
          <w:color w:val="auto"/>
          <w:sz w:val="24"/>
          <w:szCs w:val="24"/>
        </w:rPr>
        <w:t>FTPS-EQE and EL-EQE</w:t>
      </w:r>
      <w:r>
        <w:rPr>
          <w:rFonts w:hint="eastAsia" w:ascii="Times New Roman" w:hAnsi="Times New Roman" w:eastAsia="宋体" w:cs="Times New Roman"/>
          <w:b/>
          <w:bCs/>
          <w:color w:val="auto"/>
          <w:sz w:val="24"/>
          <w:szCs w:val="24"/>
        </w:rPr>
        <w:t xml:space="preserve"> </w:t>
      </w:r>
      <w:r>
        <w:rPr>
          <w:rFonts w:ascii="Times New Roman" w:hAnsi="Times New Roman" w:eastAsia="宋体" w:cs="Times New Roman"/>
          <w:b/>
          <w:bCs/>
          <w:color w:val="auto"/>
          <w:sz w:val="24"/>
          <w:szCs w:val="24"/>
        </w:rPr>
        <w:t>measurements.</w:t>
      </w:r>
      <w:r>
        <w:rPr>
          <w:rFonts w:hint="eastAsia" w:ascii="Times New Roman" w:hAnsi="Times New Roman" w:eastAsia="宋体" w:cs="Times New Roman"/>
          <w:color w:val="auto"/>
          <w:sz w:val="24"/>
          <w:szCs w:val="24"/>
        </w:rPr>
        <w:t xml:space="preserve"> </w:t>
      </w:r>
      <w:r>
        <w:rPr>
          <w:rFonts w:ascii="Times New Roman" w:hAnsi="Times New Roman" w:eastAsia="Times New Roman" w:cs="Times New Roman"/>
          <w:color w:val="auto"/>
          <w:kern w:val="0"/>
          <w:sz w:val="24"/>
          <w:szCs w:val="24"/>
          <w:lang w:eastAsia="de-DE" w:bidi="en-US"/>
        </w:rPr>
        <w:t>Fourier-transform photocurrent spectroscopy external quantum efficiency (FTPS-EQE) measurements were conducted using a PECT-600 integrated system (Enlitech) with phase-sensitive detection, where the photoresponse signal was amplified through a Stanford Research SR830 lock-in amplifier at 17 Hz modulation frequency. Electroluminescence external quantum efficiency (EL-EQE) characterization was performed under controlled carrier injection using a REPS-Pro voltage/current source (Enlitech), with devices fabricated under optimized conditions (active layer thickness: 100±5 nm, electrode alignment: &lt;2 μm offset). The EL-EQE voltage sweep protocol spanned from 0 V to 1.8 V (0.1 V step, 500 ms dwell time) to systematically probe the recombination dynamics across the operational bias range. Both characterization techniques employed thermoelectrically cooled InGaAs detectors (900-1600 nm range) with NIST-traceable calibration, ensuring wavelength-dependent quantum efficiency accuracy within ±1.5%</w:t>
      </w:r>
      <w:r>
        <w:rPr>
          <w:rFonts w:hint="eastAsia" w:ascii="Times New Roman" w:hAnsi="Times New Roman" w:cs="Times New Roman"/>
          <w:color w:val="auto"/>
          <w:kern w:val="0"/>
          <w:sz w:val="24"/>
          <w:szCs w:val="24"/>
          <w:lang w:bidi="en-US"/>
        </w:rPr>
        <w:t xml:space="preserve"> </w:t>
      </w:r>
      <w:r>
        <w:rPr>
          <w:rFonts w:ascii="Times New Roman" w:hAnsi="Times New Roman" w:eastAsia="Times New Roman" w:cs="Times New Roman"/>
          <w:color w:val="auto"/>
          <w:kern w:val="0"/>
          <w:sz w:val="24"/>
          <w:szCs w:val="24"/>
          <w:lang w:eastAsia="de-DE" w:bidi="en-US"/>
        </w:rPr>
        <w:t>were carried out from 0 to 1.8 V.</w:t>
      </w:r>
    </w:p>
    <w:p w14:paraId="1E362A5C">
      <w:pPr>
        <w:autoSpaceDE w:val="0"/>
        <w:spacing w:line="360" w:lineRule="auto"/>
        <w:rPr>
          <w:rFonts w:ascii="Times New Roman" w:hAnsi="Times New Roman" w:eastAsia="宋体" w:cs="Times New Roman"/>
          <w:color w:val="auto"/>
          <w:sz w:val="24"/>
          <w:szCs w:val="24"/>
          <w:lang w:val="en-SG"/>
        </w:rPr>
      </w:pPr>
    </w:p>
    <w:p w14:paraId="1F03CA24">
      <w:pPr>
        <w:widowControl/>
        <w:adjustRightInd w:val="0"/>
        <w:snapToGrid w:val="0"/>
        <w:spacing w:line="360" w:lineRule="auto"/>
        <w:rPr>
          <w:rFonts w:ascii="Times New Roman" w:hAnsi="Times New Roman" w:cs="Times New Roman"/>
          <w:color w:val="auto"/>
          <w:kern w:val="0"/>
          <w:sz w:val="24"/>
          <w:szCs w:val="24"/>
          <w:lang w:bidi="en-US"/>
        </w:rPr>
      </w:pPr>
      <w:r>
        <w:rPr>
          <w:rFonts w:ascii="Times New Roman" w:hAnsi="Times New Roman" w:eastAsia="Times New Roman" w:cs="Times New Roman"/>
          <w:b/>
          <w:color w:val="auto"/>
          <w:kern w:val="0"/>
          <w:sz w:val="24"/>
          <w:szCs w:val="24"/>
          <w:lang w:eastAsia="de-DE" w:bidi="en-US"/>
        </w:rPr>
        <w:t xml:space="preserve">Film-depth-dependent light absorption spectroscopy (FLAS): </w:t>
      </w:r>
      <w:r>
        <w:rPr>
          <w:rFonts w:ascii="Times New Roman" w:hAnsi="Times New Roman" w:eastAsia="Times New Roman" w:cs="Times New Roman"/>
          <w:snapToGrid w:val="0"/>
          <w:color w:val="auto"/>
          <w:kern w:val="0"/>
          <w:sz w:val="24"/>
          <w:szCs w:val="24"/>
          <w:lang w:bidi="en-US"/>
        </w:rPr>
        <w:t>Perform depth dependent light absorption analysis using a low-energy in-situ spectroscopic etching system (PU100, Shaanxi Puguang Weishi Co., Ltd., China). The plasma etching process operates at 100 W RF power and 10 Pa pressure, achieving a controlled material removal rate of 0.8 nm/s while maintaining the integrity of the subsurface structure. Real time optical monitoring is achieved through a fiber coupled spectrometer (350-850nm spectral range, 1nm resolution) to capture continuous absorption spectra during the layer by layer material ablation process.</w:t>
      </w:r>
      <w:r>
        <w:rPr>
          <w:rFonts w:ascii="Times New Roman" w:hAnsi="Times New Roman" w:eastAsia="Times New Roman" w:cs="Times New Roman"/>
          <w:color w:val="auto"/>
          <w:kern w:val="0"/>
          <w:sz w:val="24"/>
          <w:szCs w:val="24"/>
          <w:lang w:eastAsia="de-DE" w:bidi="en-US"/>
        </w:rPr>
        <w:t xml:space="preserve"> The film surface was incrementally etched by the soft ion source, without damage to the materials underneath the surface, which was in situ monitored by a spectrometer. From the evolution of the spectra and the Beer–Lambert’s Law, film-depth-dependent absorption spectra were extracted.</w:t>
      </w:r>
    </w:p>
    <w:p w14:paraId="6F6E7BD3">
      <w:pPr>
        <w:spacing w:line="360" w:lineRule="auto"/>
        <w:rPr>
          <w:rFonts w:ascii="Times New Roman" w:hAnsi="Times New Roman" w:eastAsia="宋体"/>
          <w:b/>
          <w:color w:val="auto"/>
          <w:sz w:val="24"/>
          <w:szCs w:val="24"/>
        </w:rPr>
      </w:pPr>
    </w:p>
    <w:p w14:paraId="7C91490E">
      <w:pPr>
        <w:spacing w:line="360" w:lineRule="auto"/>
        <w:rPr>
          <w:rFonts w:hint="eastAsia" w:eastAsia="宋体"/>
          <w:color w:val="auto"/>
        </w:rPr>
      </w:pPr>
      <w:r>
        <w:rPr>
          <w:rFonts w:ascii="Times New Roman" w:hAnsi="Times New Roman" w:eastAsia="宋体"/>
          <w:b/>
          <w:bCs/>
          <w:color w:val="auto"/>
          <w:sz w:val="24"/>
          <w:szCs w:val="24"/>
        </w:rPr>
        <w:t>Maximum power point tracking (</w:t>
      </w:r>
      <w:r>
        <w:rPr>
          <w:rFonts w:hint="eastAsia" w:ascii="Times New Roman" w:hAnsi="Times New Roman" w:eastAsia="宋体"/>
          <w:b/>
          <w:bCs/>
          <w:color w:val="auto"/>
          <w:sz w:val="24"/>
          <w:szCs w:val="24"/>
        </w:rPr>
        <w:t>MPPT</w:t>
      </w:r>
      <w:r>
        <w:rPr>
          <w:rFonts w:ascii="Times New Roman" w:hAnsi="Times New Roman" w:eastAsia="宋体"/>
          <w:b/>
          <w:bCs/>
          <w:color w:val="auto"/>
          <w:sz w:val="24"/>
          <w:szCs w:val="24"/>
        </w:rPr>
        <w:t>) measurements</w:t>
      </w:r>
      <w:r>
        <w:rPr>
          <w:rFonts w:hint="eastAsia" w:ascii="Times New Roman" w:hAnsi="Times New Roman" w:eastAsia="宋体"/>
          <w:b/>
          <w:bCs/>
          <w:color w:val="auto"/>
          <w:sz w:val="24"/>
          <w:szCs w:val="24"/>
        </w:rPr>
        <w:t>:</w:t>
      </w:r>
      <w:r>
        <w:rPr>
          <w:rFonts w:ascii="Times New Roman" w:hAnsi="Times New Roman" w:eastAsia="宋体"/>
          <w:color w:val="auto"/>
          <w:sz w:val="24"/>
          <w:szCs w:val="24"/>
        </w:rPr>
        <w:t xml:space="preserve"> The devices photostabilities were measured by using the solar cell stability test system (PR-SCCS, PURI Materials, China), and PURI2400-8Q as the source meters to record the solar-cells characteristics in an ambient atmosphere, which were conducted under continuous 100 mw</w:t>
      </w:r>
      <w:r>
        <w:rPr>
          <w:rFonts w:hint="eastAsia" w:ascii="Times New Roman" w:hAnsi="Times New Roman" w:eastAsia="宋体"/>
          <w:color w:val="auto"/>
          <w:sz w:val="24"/>
          <w:szCs w:val="24"/>
        </w:rPr>
        <w:t xml:space="preserve"> </w:t>
      </w:r>
      <w:r>
        <w:rPr>
          <w:rFonts w:ascii="Times New Roman" w:hAnsi="Times New Roman" w:eastAsia="宋体"/>
          <w:color w:val="auto"/>
          <w:sz w:val="24"/>
          <w:szCs w:val="24"/>
        </w:rPr>
        <w:t>cm</w:t>
      </w:r>
      <w:r>
        <w:rPr>
          <w:rFonts w:hint="eastAsia" w:ascii="Times New Roman" w:hAnsi="Times New Roman" w:eastAsia="宋体"/>
          <w:color w:val="auto"/>
          <w:sz w:val="24"/>
          <w:szCs w:val="24"/>
          <w:vertAlign w:val="superscript"/>
        </w:rPr>
        <w:t>-</w:t>
      </w:r>
      <w:r>
        <w:rPr>
          <w:rFonts w:ascii="Times New Roman" w:hAnsi="Times New Roman" w:eastAsia="宋体"/>
          <w:color w:val="auto"/>
          <w:sz w:val="24"/>
          <w:szCs w:val="24"/>
          <w:vertAlign w:val="superscript"/>
        </w:rPr>
        <w:t>2</w:t>
      </w:r>
      <w:r>
        <w:rPr>
          <w:rFonts w:ascii="Times New Roman" w:hAnsi="Times New Roman" w:eastAsia="宋体"/>
          <w:color w:val="auto"/>
          <w:sz w:val="24"/>
          <w:szCs w:val="24"/>
        </w:rPr>
        <w:t xml:space="preserve"> illumination provided by LED-solar simulators (PR-LEDSUN-8C, PURI Materials, China, with spectrum ranging from 350nm to 900</w:t>
      </w:r>
      <w:r>
        <w:rPr>
          <w:rFonts w:hint="eastAsia" w:ascii="Times New Roman" w:hAnsi="Times New Roman" w:eastAsia="宋体"/>
          <w:color w:val="auto"/>
          <w:sz w:val="24"/>
          <w:szCs w:val="24"/>
        </w:rPr>
        <w:t xml:space="preserve"> </w:t>
      </w:r>
      <w:r>
        <w:rPr>
          <w:rFonts w:ascii="Times New Roman" w:hAnsi="Times New Roman" w:eastAsia="宋体"/>
          <w:color w:val="auto"/>
          <w:sz w:val="24"/>
          <w:szCs w:val="24"/>
        </w:rPr>
        <w:t>nm). And the results were automatically recorded by the aging test software (PR-SCCS-MPPT, PURI Materials, China).</w:t>
      </w:r>
      <w:r>
        <w:rPr>
          <w:rFonts w:eastAsia="宋体"/>
          <w:color w:val="auto"/>
        </w:rPr>
        <w:t xml:space="preserve"> </w:t>
      </w:r>
    </w:p>
    <w:p w14:paraId="6CACA494">
      <w:pPr>
        <w:spacing w:line="360" w:lineRule="auto"/>
        <w:rPr>
          <w:rFonts w:hint="eastAsia" w:eastAsia="宋体"/>
          <w:color w:val="auto"/>
        </w:rPr>
      </w:pPr>
    </w:p>
    <w:p w14:paraId="3632C3C4">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2156460" cy="1892300"/>
            <wp:effectExtent l="0" t="0" r="0" b="0"/>
            <wp:docPr id="1143974982" name="图片 1"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974982" name="图片 1" descr="图片包含 图示&#10;&#10;AI 生成的内容可能不正确。"/>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2160132" cy="1895511"/>
                    </a:xfrm>
                    <a:prstGeom prst="rect">
                      <a:avLst/>
                    </a:prstGeom>
                    <a:noFill/>
                    <a:ln>
                      <a:noFill/>
                    </a:ln>
                  </pic:spPr>
                </pic:pic>
              </a:graphicData>
            </a:graphic>
          </wp:inline>
        </w:drawing>
      </w:r>
    </w:p>
    <w:p w14:paraId="548D15BC">
      <w:pPr>
        <w:autoSpaceDE w:val="0"/>
        <w:autoSpaceDN w:val="0"/>
        <w:adjustRightInd w:val="0"/>
        <w:spacing w:line="360" w:lineRule="auto"/>
        <w:rPr>
          <w:rFonts w:hint="eastAsia"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 xml:space="preserve">Figure S1. </w:t>
      </w:r>
      <w:r>
        <w:rPr>
          <w:rFonts w:hint="eastAsia" w:ascii="Times New Roman" w:hAnsi="Times New Roman" w:cs="Times New Roman"/>
          <w:color w:val="auto"/>
          <w:kern w:val="0"/>
          <w:sz w:val="24"/>
          <w:szCs w:val="24"/>
        </w:rPr>
        <w:t xml:space="preserve">The </w:t>
      </w:r>
      <w:r>
        <w:rPr>
          <w:rFonts w:hint="eastAsia" w:ascii="Times New Roman" w:hAnsi="Times New Roman" w:cs="Times New Roman"/>
          <w:color w:val="auto"/>
          <w:kern w:val="0"/>
          <w:sz w:val="24"/>
          <w:szCs w:val="24"/>
        </w:rPr>
        <w:t xml:space="preserve">energy levels </w:t>
      </w:r>
      <w:r>
        <w:rPr>
          <w:rFonts w:hint="eastAsia" w:ascii="Times New Roman" w:hAnsi="Times New Roman" w:cs="Times New Roman"/>
          <w:color w:val="auto"/>
          <w:kern w:val="0"/>
          <w:sz w:val="24"/>
          <w:szCs w:val="24"/>
        </w:rPr>
        <w:t xml:space="preserve">of D18 and eC9 </w:t>
      </w:r>
      <w:r>
        <w:rPr>
          <w:rFonts w:hint="eastAsia" w:ascii="Times New Roman" w:hAnsi="Times New Roman" w:cs="Times New Roman"/>
          <w:color w:val="auto"/>
          <w:kern w:val="0"/>
          <w:sz w:val="24"/>
          <w:szCs w:val="24"/>
        </w:rPr>
        <w:t>acquired from the reference</w:t>
      </w:r>
      <w:r>
        <w:rPr>
          <w:rFonts w:hint="eastAsia" w:ascii="Times New Roman" w:hAnsi="Times New Roman" w:cs="Times New Roman"/>
          <w:color w:val="auto"/>
          <w:kern w:val="0"/>
          <w:sz w:val="24"/>
          <w:szCs w:val="24"/>
        </w:rPr>
        <w:t xml:space="preserve">. </w:t>
      </w:r>
      <w:r>
        <w:rPr>
          <w:rFonts w:hint="eastAsia" w:ascii="Times New Roman" w:hAnsi="Times New Roman" w:cs="Times New Roman"/>
          <w:color w:val="auto"/>
          <w:kern w:val="0"/>
          <w:sz w:val="24"/>
          <w:szCs w:val="24"/>
          <w:vertAlign w:val="superscript"/>
        </w:rPr>
        <w:t>[1]</w:t>
      </w:r>
    </w:p>
    <w:p w14:paraId="4387BDD7">
      <w:pPr>
        <w:autoSpaceDE w:val="0"/>
        <w:autoSpaceDN w:val="0"/>
        <w:adjustRightInd w:val="0"/>
        <w:spacing w:line="360" w:lineRule="auto"/>
        <w:rPr>
          <w:rFonts w:ascii="Times New Roman" w:hAnsi="Times New Roman" w:cs="Times New Roman"/>
          <w:color w:val="auto"/>
          <w:kern w:val="0"/>
          <w:sz w:val="24"/>
          <w:szCs w:val="24"/>
        </w:rPr>
      </w:pPr>
    </w:p>
    <w:p w14:paraId="498AB433">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026660" cy="2021840"/>
            <wp:effectExtent l="0" t="0" r="2540" b="0"/>
            <wp:docPr id="5025232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23295" name="图片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026660" cy="2021840"/>
                    </a:xfrm>
                    <a:prstGeom prst="rect">
                      <a:avLst/>
                    </a:prstGeom>
                    <a:noFill/>
                    <a:ln>
                      <a:noFill/>
                    </a:ln>
                  </pic:spPr>
                </pic:pic>
              </a:graphicData>
            </a:graphic>
          </wp:inline>
        </w:drawing>
      </w:r>
    </w:p>
    <w:p w14:paraId="692FF339">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S2</w:t>
      </w:r>
      <w:r>
        <w:rPr>
          <w:rFonts w:hint="eastAsia" w:ascii="Times New Roman" w:hAnsi="Times New Roman" w:cs="Times New Roman"/>
          <w:color w:val="auto"/>
          <w:kern w:val="0"/>
          <w:sz w:val="24"/>
          <w:szCs w:val="24"/>
        </w:rPr>
        <w:t xml:space="preserve">. </w:t>
      </w:r>
      <w:bookmarkStart w:id="12" w:name="OLE_LINK19"/>
      <w:r>
        <w:rPr>
          <w:rFonts w:ascii="Times New Roman" w:hAnsi="Times New Roman" w:cs="Times New Roman"/>
          <w:color w:val="auto"/>
          <w:kern w:val="0"/>
          <w:sz w:val="24"/>
          <w:szCs w:val="24"/>
        </w:rPr>
        <w:t>The temperature variation of the preparation of D18/eC9 film surface with spin coating time</w:t>
      </w:r>
      <w:bookmarkEnd w:id="12"/>
      <w:r>
        <w:rPr>
          <w:rFonts w:ascii="Times New Roman" w:hAnsi="Times New Roman" w:cs="Times New Roman"/>
          <w:color w:val="auto"/>
          <w:kern w:val="0"/>
          <w:sz w:val="24"/>
          <w:szCs w:val="24"/>
        </w:rPr>
        <w:t xml:space="preserve">. </w:t>
      </w:r>
      <w:bookmarkStart w:id="13" w:name="OLE_LINK20"/>
      <w:r>
        <w:rPr>
          <w:rFonts w:ascii="Times New Roman" w:hAnsi="Times New Roman" w:cs="Times New Roman"/>
          <w:color w:val="auto"/>
          <w:kern w:val="0"/>
          <w:sz w:val="24"/>
          <w:szCs w:val="24"/>
        </w:rPr>
        <w:t xml:space="preserve">Herein, D18 and eC9 solution are spin-coated on the silicon wafer </w:t>
      </w:r>
      <w:bookmarkStart w:id="14" w:name="OLE_LINK21"/>
      <w:r>
        <w:rPr>
          <w:rFonts w:ascii="Times New Roman" w:hAnsi="Times New Roman" w:cs="Times New Roman"/>
          <w:color w:val="auto"/>
          <w:kern w:val="0"/>
          <w:sz w:val="24"/>
          <w:szCs w:val="24"/>
        </w:rPr>
        <w:t xml:space="preserve">under room temperature </w:t>
      </w:r>
      <w:bookmarkEnd w:id="14"/>
      <w:r>
        <w:rPr>
          <w:rFonts w:ascii="Times New Roman" w:hAnsi="Times New Roman" w:cs="Times New Roman"/>
          <w:color w:val="auto"/>
          <w:kern w:val="0"/>
          <w:sz w:val="24"/>
          <w:szCs w:val="24"/>
        </w:rPr>
        <w:t>(~31℃) in turn</w:t>
      </w:r>
      <w:bookmarkEnd w:id="13"/>
      <w:r>
        <w:rPr>
          <w:rFonts w:ascii="Times New Roman" w:hAnsi="Times New Roman" w:cs="Times New Roman"/>
          <w:color w:val="auto"/>
          <w:kern w:val="0"/>
          <w:sz w:val="24"/>
          <w:szCs w:val="24"/>
        </w:rPr>
        <w:t>.</w:t>
      </w:r>
    </w:p>
    <w:p w14:paraId="6F92C4B8">
      <w:pPr>
        <w:autoSpaceDE w:val="0"/>
        <w:autoSpaceDN w:val="0"/>
        <w:adjustRightInd w:val="0"/>
        <w:spacing w:line="360" w:lineRule="auto"/>
        <w:rPr>
          <w:rFonts w:ascii="Times New Roman" w:hAnsi="Times New Roman" w:cs="Times New Roman"/>
          <w:color w:val="auto"/>
          <w:kern w:val="0"/>
          <w:sz w:val="24"/>
          <w:szCs w:val="24"/>
        </w:rPr>
      </w:pPr>
    </w:p>
    <w:p w14:paraId="6C91C013">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5010150" cy="1993900"/>
            <wp:effectExtent l="0" t="0" r="0" b="6350"/>
            <wp:docPr id="95150905" name="图片 2" descr="许多人在玩游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0905" name="图片 2" descr="许多人在玩游戏&#10;&#10;AI 生成的内容可能不正确。"/>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010150" cy="1993900"/>
                    </a:xfrm>
                    <a:prstGeom prst="rect">
                      <a:avLst/>
                    </a:prstGeom>
                    <a:noFill/>
                    <a:ln>
                      <a:noFill/>
                    </a:ln>
                  </pic:spPr>
                </pic:pic>
              </a:graphicData>
            </a:graphic>
          </wp:inline>
        </w:drawing>
      </w:r>
    </w:p>
    <w:p w14:paraId="2E829536">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S3</w:t>
      </w:r>
      <w:r>
        <w:rPr>
          <w:rFonts w:hint="eastAsia" w:ascii="Times New Roman" w:hAnsi="Times New Roman" w:cs="Times New Roman"/>
          <w:color w:val="auto"/>
          <w:kern w:val="0"/>
          <w:sz w:val="24"/>
          <w:szCs w:val="24"/>
        </w:rPr>
        <w:t xml:space="preserve">. </w:t>
      </w:r>
      <w:r>
        <w:rPr>
          <w:rFonts w:ascii="Times New Roman" w:hAnsi="Times New Roman" w:cs="Times New Roman"/>
          <w:color w:val="auto"/>
          <w:kern w:val="0"/>
          <w:sz w:val="24"/>
          <w:szCs w:val="24"/>
        </w:rPr>
        <w:t>The variation of substrate surface temperature with spin coating time during the preparation of D18/eC9 films</w:t>
      </w:r>
      <w:r>
        <w:rPr>
          <w:rFonts w:hint="eastAsia" w:ascii="Times New Roman" w:hAnsi="Times New Roman" w:cs="Times New Roman"/>
          <w:color w:val="auto"/>
          <w:kern w:val="0"/>
          <w:sz w:val="24"/>
          <w:szCs w:val="24"/>
        </w:rPr>
        <w:t>.</w:t>
      </w:r>
      <w:r>
        <w:rPr>
          <w:rFonts w:ascii="Times New Roman" w:hAnsi="Times New Roman" w:cs="Times New Roman"/>
          <w:color w:val="auto"/>
          <w:kern w:val="0"/>
          <w:sz w:val="24"/>
          <w:szCs w:val="24"/>
        </w:rPr>
        <w:t xml:space="preserve"> </w:t>
      </w:r>
      <w:r>
        <w:rPr>
          <w:rFonts w:hint="eastAsia" w:ascii="Times New Roman" w:hAnsi="Times New Roman" w:cs="Times New Roman"/>
          <w:color w:val="auto"/>
          <w:kern w:val="0"/>
          <w:sz w:val="24"/>
          <w:szCs w:val="24"/>
        </w:rPr>
        <w:t>H</w:t>
      </w:r>
      <w:r>
        <w:rPr>
          <w:rFonts w:ascii="Times New Roman" w:hAnsi="Times New Roman" w:cs="Times New Roman"/>
          <w:color w:val="auto"/>
          <w:kern w:val="0"/>
          <w:sz w:val="24"/>
          <w:szCs w:val="24"/>
        </w:rPr>
        <w:t>erein, D18 solution are preheated under 80℃</w:t>
      </w:r>
      <w:r>
        <w:rPr>
          <w:rFonts w:hint="eastAsia" w:ascii="Times New Roman" w:hAnsi="Times New Roman" w:cs="Times New Roman"/>
          <w:color w:val="auto"/>
          <w:kern w:val="0"/>
          <w:sz w:val="24"/>
          <w:szCs w:val="24"/>
        </w:rPr>
        <w:t xml:space="preserve"> before spin-coating, while eC9 solution are directly spin-coated on the D18 film.</w:t>
      </w:r>
    </w:p>
    <w:p w14:paraId="62A2F947">
      <w:pPr>
        <w:autoSpaceDE w:val="0"/>
        <w:autoSpaceDN w:val="0"/>
        <w:adjustRightInd w:val="0"/>
        <w:spacing w:line="360" w:lineRule="auto"/>
        <w:rPr>
          <w:rFonts w:ascii="Times New Roman" w:hAnsi="Times New Roman" w:cs="Times New Roman"/>
          <w:color w:val="auto"/>
          <w:kern w:val="0"/>
          <w:sz w:val="24"/>
          <w:szCs w:val="24"/>
        </w:rPr>
      </w:pPr>
    </w:p>
    <w:p w14:paraId="21420FA2">
      <w:pPr>
        <w:autoSpaceDE w:val="0"/>
        <w:autoSpaceDN w:val="0"/>
        <w:adjustRightInd w:val="0"/>
        <w:spacing w:line="360" w:lineRule="auto"/>
        <w:rPr>
          <w:rFonts w:ascii="Times New Roman" w:hAnsi="Times New Roman" w:cs="Times New Roman"/>
          <w:color w:val="auto"/>
          <w:kern w:val="0"/>
          <w:sz w:val="24"/>
          <w:szCs w:val="24"/>
        </w:rPr>
      </w:pPr>
    </w:p>
    <w:p w14:paraId="7E5E7079">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2879725" cy="2399030"/>
            <wp:effectExtent l="0" t="0" r="0" b="1270"/>
            <wp:docPr id="1317188339"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188339" name="图片 1" descr="图表&#10;&#10;AI 生成的内容可能不正确。"/>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880000" cy="2399191"/>
                    </a:xfrm>
                    <a:prstGeom prst="rect">
                      <a:avLst/>
                    </a:prstGeom>
                    <a:noFill/>
                    <a:ln>
                      <a:noFill/>
                    </a:ln>
                  </pic:spPr>
                </pic:pic>
              </a:graphicData>
            </a:graphic>
          </wp:inline>
        </w:drawing>
      </w:r>
    </w:p>
    <w:p w14:paraId="080DBBC2">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S4</w:t>
      </w:r>
      <w:r>
        <w:rPr>
          <w:rFonts w:hint="eastAsia" w:ascii="Times New Roman" w:hAnsi="Times New Roman" w:cs="Times New Roman"/>
          <w:color w:val="auto"/>
          <w:kern w:val="0"/>
          <w:sz w:val="24"/>
          <w:szCs w:val="24"/>
        </w:rPr>
        <w:t>. Time-dependent surface temperature profile of the substrate under the whole SqP film fabrication process. H</w:t>
      </w:r>
      <w:r>
        <w:rPr>
          <w:rFonts w:ascii="Times New Roman" w:hAnsi="Times New Roman" w:cs="Times New Roman"/>
          <w:color w:val="auto"/>
          <w:kern w:val="0"/>
          <w:sz w:val="24"/>
          <w:szCs w:val="24"/>
        </w:rPr>
        <w:t>erein, D18 solution are preheated under 80℃</w:t>
      </w:r>
      <w:r>
        <w:rPr>
          <w:rFonts w:hint="eastAsia" w:ascii="Times New Roman" w:hAnsi="Times New Roman" w:cs="Times New Roman"/>
          <w:color w:val="auto"/>
          <w:kern w:val="0"/>
          <w:sz w:val="24"/>
          <w:szCs w:val="24"/>
        </w:rPr>
        <w:t xml:space="preserve"> before spin-coating, while eC9 solution are directly spin-coated on the D18 film.</w:t>
      </w:r>
    </w:p>
    <w:p w14:paraId="11E8C73D">
      <w:pPr>
        <w:autoSpaceDE w:val="0"/>
        <w:autoSpaceDN w:val="0"/>
        <w:adjustRightInd w:val="0"/>
        <w:spacing w:line="360" w:lineRule="auto"/>
        <w:rPr>
          <w:rFonts w:ascii="Times New Roman" w:hAnsi="Times New Roman" w:cs="Times New Roman"/>
          <w:color w:val="auto"/>
          <w:kern w:val="0"/>
          <w:sz w:val="24"/>
          <w:szCs w:val="24"/>
        </w:rPr>
      </w:pPr>
    </w:p>
    <w:p w14:paraId="2A3026C2">
      <w:pPr>
        <w:rPr>
          <w:rFonts w:ascii="Times New Roman" w:hAnsi="Times New Roman" w:cs="Times New Roman"/>
          <w:color w:val="auto"/>
          <w:szCs w:val="21"/>
        </w:rPr>
      </w:pPr>
      <w:r>
        <w:rPr>
          <w:rFonts w:hint="eastAsia" w:ascii="Times New Roman" w:hAnsi="Times New Roman" w:cs="Times New Roman"/>
          <w:color w:val="auto"/>
          <w:szCs w:val="21"/>
        </w:rPr>
        <w:drawing>
          <wp:inline distT="0" distB="0" distL="114300" distR="114300">
            <wp:extent cx="5266690" cy="2770505"/>
            <wp:effectExtent l="0" t="0" r="3810" b="10795"/>
            <wp:docPr id="703399003" name="图片 703399003" descr="175298099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399003" name="图片 703399003" descr="1752980994825"/>
                    <pic:cNvPicPr>
                      <a:picLocks noChangeAspect="1"/>
                    </pic:cNvPicPr>
                  </pic:nvPicPr>
                  <pic:blipFill>
                    <a:blip r:embed="rId8"/>
                    <a:stretch>
                      <a:fillRect/>
                    </a:stretch>
                  </pic:blipFill>
                  <pic:spPr>
                    <a:xfrm>
                      <a:off x="0" y="0"/>
                      <a:ext cx="5266690" cy="2770505"/>
                    </a:xfrm>
                    <a:prstGeom prst="rect">
                      <a:avLst/>
                    </a:prstGeom>
                  </pic:spPr>
                </pic:pic>
              </a:graphicData>
            </a:graphic>
          </wp:inline>
        </w:drawing>
      </w:r>
    </w:p>
    <w:p w14:paraId="144BB1C7">
      <w:pPr>
        <w:spacing w:line="360" w:lineRule="auto"/>
        <w:rPr>
          <w:rFonts w:ascii="Times New Roman" w:hAnsi="Times New Roman" w:cs="Times New Roman"/>
          <w:color w:val="auto"/>
          <w:sz w:val="24"/>
          <w:szCs w:val="24"/>
        </w:rPr>
      </w:pPr>
      <w:r>
        <w:rPr>
          <w:rFonts w:hint="eastAsia" w:ascii="Times New Roman" w:hAnsi="Times New Roman" w:cs="Times New Roman"/>
          <w:b/>
          <w:bCs/>
          <w:color w:val="auto"/>
          <w:sz w:val="24"/>
          <w:szCs w:val="24"/>
        </w:rPr>
        <w:t>Figure S5.</w:t>
      </w:r>
      <w:r>
        <w:rPr>
          <w:rFonts w:hint="eastAsia" w:ascii="Times New Roman" w:hAnsi="Times New Roman" w:cs="Times New Roman"/>
          <w:color w:val="auto"/>
          <w:sz w:val="24"/>
          <w:szCs w:val="24"/>
        </w:rPr>
        <w:t xml:space="preserve"> Time-dependent surface temperature profiles of the substrates during the entire SqP film fabrication processes, including </w:t>
      </w:r>
      <w:r>
        <w:rPr>
          <w:rFonts w:ascii="Times New Roman" w:hAnsi="Times New Roman" w:cs="Times New Roman"/>
          <w:color w:val="auto"/>
          <w:sz w:val="24"/>
          <w:szCs w:val="24"/>
        </w:rPr>
        <w:t>ambient-temperature fabrication, HS method, and hot-solution technique</w:t>
      </w:r>
      <w:r>
        <w:rPr>
          <w:rFonts w:hint="eastAsia" w:ascii="Times New Roman" w:hAnsi="Times New Roman" w:cs="Times New Roman"/>
          <w:color w:val="auto"/>
          <w:sz w:val="24"/>
          <w:szCs w:val="24"/>
        </w:rPr>
        <w:t xml:space="preserve"> on a) ITO substrate, and b) Si substrate. </w:t>
      </w:r>
    </w:p>
    <w:p w14:paraId="36EFD5D7">
      <w:pPr>
        <w:autoSpaceDE w:val="0"/>
        <w:autoSpaceDN w:val="0"/>
        <w:adjustRightInd w:val="0"/>
        <w:spacing w:line="360" w:lineRule="auto"/>
        <w:rPr>
          <w:rFonts w:ascii="Times New Roman" w:hAnsi="Times New Roman" w:cs="Times New Roman"/>
          <w:color w:val="auto"/>
          <w:kern w:val="0"/>
          <w:sz w:val="24"/>
          <w:szCs w:val="24"/>
        </w:rPr>
      </w:pPr>
    </w:p>
    <w:p w14:paraId="29EB7BF0">
      <w:pPr>
        <w:spacing w:line="480" w:lineRule="auto"/>
        <w:rPr>
          <w:rFonts w:ascii="Times New Roman" w:hAnsi="Times New Roman" w:cs="Times New Roman"/>
          <w:b/>
          <w:bCs/>
          <w:color w:val="auto"/>
          <w:sz w:val="24"/>
          <w:szCs w:val="24"/>
        </w:rPr>
      </w:pPr>
      <w:r>
        <w:rPr>
          <w:rFonts w:ascii="Times New Roman" w:hAnsi="Times New Roman" w:cs="Times New Roman"/>
          <w:b/>
          <w:bCs/>
          <w:color w:val="auto"/>
          <w:sz w:val="24"/>
          <w:szCs w:val="24"/>
        </w:rPr>
        <w:t xml:space="preserve">Surface energy </w:t>
      </w:r>
      <w:r>
        <w:rPr>
          <w:rFonts w:ascii="Times New Roman" w:hAnsi="Times New Roman" w:eastAsia="宋体" w:cs="Times New Roman"/>
          <w:b/>
          <w:bCs/>
          <w:color w:val="auto"/>
          <w:sz w:val="24"/>
          <w:szCs w:val="24"/>
        </w:rPr>
        <w:t xml:space="preserve">calculation </w:t>
      </w:r>
      <w:r>
        <w:rPr>
          <w:rFonts w:ascii="Times New Roman" w:hAnsi="Times New Roman" w:cs="Times New Roman"/>
          <w:b/>
          <w:bCs/>
          <w:color w:val="auto"/>
          <w:sz w:val="24"/>
          <w:szCs w:val="24"/>
        </w:rPr>
        <w:t>of film</w:t>
      </w:r>
    </w:p>
    <w:p w14:paraId="49FE7011">
      <w:pPr>
        <w:spacing w:line="480" w:lineRule="auto"/>
        <w:ind w:firstLine="480" w:firstLineChars="200"/>
        <w:rPr>
          <w:rFonts w:ascii="Times New Roman" w:hAnsi="Times New Roman" w:cs="Times New Roman"/>
          <w:color w:val="auto"/>
          <w:sz w:val="24"/>
          <w:szCs w:val="24"/>
        </w:rPr>
      </w:pPr>
      <w:r>
        <w:rPr>
          <w:rFonts w:ascii="Times New Roman" w:hAnsi="Times New Roman" w:cs="Times New Roman"/>
          <w:color w:val="auto"/>
          <w:sz w:val="24"/>
          <w:szCs w:val="24"/>
        </w:rPr>
        <w:t>The solid surface energy using Owen Method was based on the following model:</w:t>
      </w:r>
    </w:p>
    <w:p w14:paraId="411E19C3">
      <w:pPr>
        <w:spacing w:line="480" w:lineRule="auto"/>
        <w:jc w:val="right"/>
        <w:rPr>
          <w:rFonts w:ascii="Times New Roman" w:hAnsi="Times New Roman" w:cs="Times New Roman"/>
          <w:color w:val="auto"/>
          <w:sz w:val="24"/>
          <w:szCs w:val="24"/>
        </w:rPr>
      </w:pPr>
      <m:oMath>
        <m:r>
          <m:rPr/>
          <w:rPr>
            <w:rFonts w:ascii="Cambria Math" w:hAnsi="Cambria Math" w:cs="Times New Roman"/>
            <w:color w:val="auto"/>
            <w:sz w:val="24"/>
            <w:szCs w:val="24"/>
          </w:rPr>
          <m:t>γ=</m:t>
        </m:r>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hint="eastAsia" w:ascii="Cambria Math" w:hAnsi="Cambria Math" w:cs="Times New Roman"/>
                <w:color w:val="auto"/>
                <w:sz w:val="24"/>
                <w:szCs w:val="24"/>
              </w:rPr>
              <m:t>d</m:t>
            </m:r>
            <m:ctrlPr>
              <w:rPr>
                <w:rFonts w:ascii="Cambria Math" w:hAnsi="Cambria Math" w:cs="Times New Roman"/>
                <w:i/>
                <w:color w:val="auto"/>
                <w:sz w:val="24"/>
                <w:szCs w:val="24"/>
              </w:rPr>
            </m:ctrlPr>
          </m:sub>
        </m:sSub>
        <m:r>
          <m:rPr/>
          <w:rPr>
            <w:rFonts w:ascii="Cambria Math" w:hAnsi="Cambria Math" w:cs="Times New Roman"/>
            <w:color w:val="auto"/>
            <w:sz w:val="24"/>
            <w:szCs w:val="24"/>
          </w:rPr>
          <m:t>+</m:t>
        </m:r>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p</m:t>
            </m:r>
            <m:ctrlPr>
              <w:rPr>
                <w:rFonts w:ascii="Cambria Math" w:hAnsi="Cambria Math" w:cs="Times New Roman"/>
                <w:i/>
                <w:color w:val="auto"/>
                <w:sz w:val="24"/>
                <w:szCs w:val="24"/>
              </w:rPr>
            </m:ctrlPr>
          </m:sub>
        </m:sSub>
      </m:oMath>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 xml:space="preserve">  (1)</w:t>
      </w:r>
    </w:p>
    <w:p w14:paraId="3ACF22A9">
      <w:pPr>
        <w:spacing w:line="480" w:lineRule="auto"/>
        <w:jc w:val="right"/>
        <w:rPr>
          <w:rFonts w:ascii="Times New Roman" w:hAnsi="Times New Roman" w:cs="Times New Roman"/>
          <w:color w:val="auto"/>
          <w:sz w:val="24"/>
          <w:szCs w:val="24"/>
        </w:rPr>
      </w:pP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l</m:t>
            </m:r>
            <m:ctrlPr>
              <w:rPr>
                <w:rFonts w:ascii="Cambria Math" w:hAnsi="Cambria Math" w:cs="Times New Roman"/>
                <w:i/>
                <w:color w:val="auto"/>
                <w:sz w:val="24"/>
                <w:szCs w:val="24"/>
              </w:rPr>
            </m:ctrlPr>
          </m:sub>
        </m:sSub>
        <m:r>
          <m:rPr/>
          <w:rPr>
            <w:rFonts w:ascii="Cambria Math" w:hAnsi="Cambria Math" w:cs="Times New Roman"/>
            <w:color w:val="auto"/>
            <w:sz w:val="24"/>
            <w:szCs w:val="24"/>
          </w:rPr>
          <m:t>=</m:t>
        </m:r>
        <m:sSubSup>
          <m:sSubSupPr>
            <m:ctrlPr>
              <w:rPr>
                <w:rFonts w:ascii="Cambria Math" w:hAnsi="Cambria Math" w:cs="Times New Roman"/>
                <w:i/>
                <w:color w:val="auto"/>
                <w:sz w:val="24"/>
                <w:szCs w:val="24"/>
              </w:rPr>
            </m:ctrlPr>
          </m:sSubSup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l</m:t>
            </m:r>
            <m:ctrlPr>
              <w:rPr>
                <w:rFonts w:ascii="Cambria Math" w:hAnsi="Cambria Math" w:cs="Times New Roman"/>
                <w:i/>
                <w:color w:val="auto"/>
                <w:sz w:val="24"/>
                <w:szCs w:val="24"/>
              </w:rPr>
            </m:ctrlPr>
          </m:sub>
          <m:sup>
            <m:r>
              <m:rPr/>
              <w:rPr>
                <w:rFonts w:ascii="Cambria Math" w:hAnsi="Cambria Math" w:cs="Times New Roman"/>
                <w:color w:val="auto"/>
                <w:sz w:val="24"/>
                <w:szCs w:val="24"/>
              </w:rPr>
              <m:t>D</m:t>
            </m:r>
            <m:ctrlPr>
              <w:rPr>
                <w:rFonts w:ascii="Cambria Math" w:hAnsi="Cambria Math" w:cs="Times New Roman"/>
                <w:i/>
                <w:color w:val="auto"/>
                <w:sz w:val="24"/>
                <w:szCs w:val="24"/>
              </w:rPr>
            </m:ctrlPr>
          </m:sup>
        </m:sSubSup>
        <m:r>
          <m:rPr/>
          <w:rPr>
            <w:rFonts w:ascii="Cambria Math" w:hAnsi="Cambria Math" w:cs="Times New Roman"/>
            <w:color w:val="auto"/>
            <w:sz w:val="24"/>
            <w:szCs w:val="24"/>
          </w:rPr>
          <m:t>+</m:t>
        </m:r>
        <m:sSubSup>
          <m:sSubSupPr>
            <m:ctrlPr>
              <w:rPr>
                <w:rFonts w:ascii="Cambria Math" w:hAnsi="Cambria Math" w:cs="Times New Roman"/>
                <w:i/>
                <w:color w:val="auto"/>
                <w:sz w:val="24"/>
                <w:szCs w:val="24"/>
              </w:rPr>
            </m:ctrlPr>
          </m:sSubSup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l</m:t>
            </m:r>
            <m:ctrlPr>
              <w:rPr>
                <w:rFonts w:ascii="Cambria Math" w:hAnsi="Cambria Math" w:cs="Times New Roman"/>
                <w:i/>
                <w:color w:val="auto"/>
                <w:sz w:val="24"/>
                <w:szCs w:val="24"/>
              </w:rPr>
            </m:ctrlPr>
          </m:sub>
          <m:sup>
            <m:r>
              <m:rPr/>
              <w:rPr>
                <w:rFonts w:ascii="Cambria Math" w:hAnsi="Cambria Math" w:cs="Times New Roman"/>
                <w:color w:val="auto"/>
                <w:sz w:val="24"/>
                <w:szCs w:val="24"/>
              </w:rPr>
              <m:t>P</m:t>
            </m:r>
            <m:ctrlPr>
              <w:rPr>
                <w:rFonts w:ascii="Cambria Math" w:hAnsi="Cambria Math" w:cs="Times New Roman"/>
                <w:i/>
                <w:color w:val="auto"/>
                <w:sz w:val="24"/>
                <w:szCs w:val="24"/>
              </w:rPr>
            </m:ctrlPr>
          </m:sup>
        </m:sSubSup>
      </m:oMath>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 xml:space="preserve">    (2)</w:t>
      </w:r>
    </w:p>
    <w:p w14:paraId="3771788C">
      <w:pPr>
        <w:spacing w:line="480" w:lineRule="auto"/>
        <w:rPr>
          <w:rFonts w:ascii="Times New Roman" w:hAnsi="Times New Roman" w:cs="Times New Roman"/>
          <w:color w:val="auto"/>
          <w:sz w:val="24"/>
          <w:szCs w:val="24"/>
        </w:rPr>
      </w:pPr>
      <w:r>
        <w:rPr>
          <w:rFonts w:ascii="Times New Roman" w:hAnsi="Times New Roman" w:cs="Times New Roman"/>
          <w:color w:val="auto"/>
          <w:sz w:val="24"/>
          <w:szCs w:val="24"/>
        </w:rPr>
        <w:t xml:space="preserve">where </w:t>
      </w: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s</m:t>
            </m:r>
            <m:ctrlPr>
              <w:rPr>
                <w:rFonts w:ascii="Cambria Math" w:hAnsi="Cambria Math" w:cs="Times New Roman"/>
                <w:i/>
                <w:color w:val="auto"/>
                <w:sz w:val="24"/>
                <w:szCs w:val="24"/>
              </w:rPr>
            </m:ctrlPr>
          </m:sub>
        </m:sSub>
      </m:oMath>
      <w:r>
        <w:rPr>
          <w:rFonts w:ascii="Times New Roman" w:hAnsi="Times New Roman" w:cs="Times New Roman"/>
          <w:color w:val="auto"/>
          <w:sz w:val="24"/>
          <w:szCs w:val="24"/>
        </w:rPr>
        <w:t xml:space="preserve"> stands for the surface of the solid, which consist</w:t>
      </w:r>
      <w:r>
        <w:rPr>
          <w:rFonts w:ascii="Times New Roman" w:hAnsi="Times New Roman" w:eastAsia="宋体" w:cs="Times New Roman"/>
          <w:color w:val="auto"/>
          <w:sz w:val="24"/>
          <w:szCs w:val="24"/>
        </w:rPr>
        <w:t>s</w:t>
      </w:r>
      <w:r>
        <w:rPr>
          <w:rFonts w:ascii="Times New Roman" w:hAnsi="Times New Roman" w:cs="Times New Roman"/>
          <w:color w:val="auto"/>
          <w:sz w:val="24"/>
          <w:szCs w:val="24"/>
        </w:rPr>
        <w:t xml:space="preserve"> of the polarity force </w:t>
      </w: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p</m:t>
            </m:r>
            <m:ctrlPr>
              <w:rPr>
                <w:rFonts w:ascii="Cambria Math" w:hAnsi="Cambria Math" w:cs="Times New Roman"/>
                <w:i/>
                <w:color w:val="auto"/>
                <w:sz w:val="24"/>
                <w:szCs w:val="24"/>
              </w:rPr>
            </m:ctrlPr>
          </m:sub>
        </m:sSub>
      </m:oMath>
      <w:r>
        <w:rPr>
          <w:rFonts w:ascii="Times New Roman" w:hAnsi="Times New Roman" w:cs="Times New Roman"/>
          <w:color w:val="auto"/>
          <w:sz w:val="24"/>
          <w:szCs w:val="24"/>
        </w:rPr>
        <w:t xml:space="preserve"> and dispersion force </w:t>
      </w: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hint="eastAsia" w:ascii="Cambria Math" w:hAnsi="Cambria Math" w:cs="Times New Roman"/>
                <w:color w:val="auto"/>
                <w:sz w:val="24"/>
                <w:szCs w:val="24"/>
              </w:rPr>
              <m:t>d</m:t>
            </m:r>
            <m:ctrlPr>
              <w:rPr>
                <w:rFonts w:ascii="Cambria Math" w:hAnsi="Cambria Math" w:cs="Times New Roman"/>
                <w:i/>
                <w:color w:val="auto"/>
                <w:sz w:val="24"/>
                <w:szCs w:val="24"/>
              </w:rPr>
            </m:ctrlPr>
          </m:sub>
        </m:sSub>
      </m:oMath>
      <w:r>
        <w:rPr>
          <w:rFonts w:ascii="Times New Roman" w:hAnsi="Times New Roman" w:eastAsia="宋体" w:cs="Times New Roman"/>
          <w:color w:val="auto"/>
          <w:sz w:val="24"/>
          <w:szCs w:val="24"/>
        </w:rPr>
        <w:t>,</w:t>
      </w:r>
      <w:r>
        <w:rPr>
          <w:rFonts w:ascii="Times New Roman" w:hAnsi="Times New Roman" w:cs="Times New Roman"/>
          <w:color w:val="auto"/>
          <w:sz w:val="24"/>
          <w:szCs w:val="24"/>
        </w:rPr>
        <w:t xml:space="preserve"> </w:t>
      </w:r>
      <w:r>
        <w:rPr>
          <w:rFonts w:ascii="Times New Roman" w:hAnsi="Times New Roman" w:eastAsia="宋体" w:cs="Times New Roman"/>
          <w:color w:val="auto"/>
          <w:sz w:val="24"/>
          <w:szCs w:val="24"/>
        </w:rPr>
        <w:t>and</w:t>
      </w:r>
      <w:r>
        <w:rPr>
          <w:rFonts w:ascii="Times New Roman" w:hAnsi="Times New Roman" w:cs="Times New Roman"/>
          <w:color w:val="auto"/>
          <w:sz w:val="24"/>
          <w:szCs w:val="24"/>
        </w:rPr>
        <w:t xml:space="preserve"> </w:t>
      </w: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l</m:t>
            </m:r>
            <m:ctrlPr>
              <w:rPr>
                <w:rFonts w:ascii="Cambria Math" w:hAnsi="Cambria Math" w:cs="Times New Roman"/>
                <w:i/>
                <w:color w:val="auto"/>
                <w:sz w:val="24"/>
                <w:szCs w:val="24"/>
              </w:rPr>
            </m:ctrlPr>
          </m:sub>
        </m:sSub>
      </m:oMath>
      <w:r>
        <w:rPr>
          <w:rFonts w:ascii="Times New Roman" w:hAnsi="Times New Roman" w:eastAsia="宋体" w:cs="Times New Roman"/>
          <w:color w:val="auto"/>
          <w:sz w:val="24"/>
          <w:szCs w:val="24"/>
        </w:rPr>
        <w:t xml:space="preserve"> </w:t>
      </w:r>
      <w:r>
        <w:rPr>
          <w:rFonts w:ascii="Times New Roman" w:hAnsi="Times New Roman" w:cs="Times New Roman"/>
          <w:color w:val="auto"/>
          <w:sz w:val="24"/>
          <w:szCs w:val="24"/>
        </w:rPr>
        <w:t xml:space="preserve">refers </w:t>
      </w:r>
      <w:r>
        <w:rPr>
          <w:rFonts w:ascii="Times New Roman" w:hAnsi="Times New Roman" w:eastAsia="宋体" w:cs="Times New Roman"/>
          <w:color w:val="auto"/>
          <w:sz w:val="24"/>
          <w:szCs w:val="24"/>
        </w:rPr>
        <w:t xml:space="preserve">to </w:t>
      </w:r>
      <w:r>
        <w:rPr>
          <w:rFonts w:ascii="Times New Roman" w:hAnsi="Times New Roman" w:cs="Times New Roman"/>
          <w:color w:val="auto"/>
          <w:sz w:val="24"/>
          <w:szCs w:val="24"/>
        </w:rPr>
        <w:t>the surface energy of the liquid</w:t>
      </w:r>
      <w:r>
        <w:rPr>
          <w:rFonts w:ascii="Times New Roman" w:hAnsi="Times New Roman" w:eastAsia="宋体" w:cs="Times New Roman"/>
          <w:color w:val="auto"/>
          <w:sz w:val="24"/>
          <w:szCs w:val="24"/>
        </w:rPr>
        <w:t xml:space="preserve"> with</w:t>
      </w:r>
      <w:r>
        <w:rPr>
          <w:rFonts w:ascii="Times New Roman" w:hAnsi="Times New Roman" w:cs="Times New Roman"/>
          <w:color w:val="auto"/>
          <w:sz w:val="24"/>
          <w:szCs w:val="24"/>
        </w:rPr>
        <w:t xml:space="preserve"> the corresponding polarity force </w:t>
      </w:r>
      <m:oMath>
        <m:sSubSup>
          <m:sSubSupPr>
            <m:ctrlPr>
              <w:rPr>
                <w:rFonts w:ascii="Cambria Math" w:hAnsi="Cambria Math" w:cs="Times New Roman"/>
                <w:i/>
                <w:color w:val="auto"/>
                <w:sz w:val="24"/>
                <w:szCs w:val="24"/>
              </w:rPr>
            </m:ctrlPr>
          </m:sSubSup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l</m:t>
            </m:r>
            <m:ctrlPr>
              <w:rPr>
                <w:rFonts w:ascii="Cambria Math" w:hAnsi="Cambria Math" w:cs="Times New Roman"/>
                <w:i/>
                <w:color w:val="auto"/>
                <w:sz w:val="24"/>
                <w:szCs w:val="24"/>
              </w:rPr>
            </m:ctrlPr>
          </m:sub>
          <m:sup>
            <m:r>
              <m:rPr/>
              <w:rPr>
                <w:rFonts w:ascii="Cambria Math" w:hAnsi="Cambria Math" w:cs="Times New Roman"/>
                <w:color w:val="auto"/>
                <w:sz w:val="24"/>
                <w:szCs w:val="24"/>
              </w:rPr>
              <m:t>P</m:t>
            </m:r>
            <m:ctrlPr>
              <w:rPr>
                <w:rFonts w:ascii="Cambria Math" w:hAnsi="Cambria Math" w:cs="Times New Roman"/>
                <w:i/>
                <w:color w:val="auto"/>
                <w:sz w:val="24"/>
                <w:szCs w:val="24"/>
              </w:rPr>
            </m:ctrlPr>
          </m:sup>
        </m:sSubSup>
      </m:oMath>
      <w:r>
        <w:rPr>
          <w:rFonts w:ascii="Times New Roman" w:hAnsi="Times New Roman" w:cs="Times New Roman"/>
          <w:color w:val="auto"/>
          <w:sz w:val="24"/>
          <w:szCs w:val="24"/>
        </w:rPr>
        <w:t xml:space="preserve"> and dispersion force </w:t>
      </w:r>
      <m:oMath>
        <m:sSubSup>
          <m:sSubSupPr>
            <m:ctrlPr>
              <w:rPr>
                <w:rFonts w:ascii="Cambria Math" w:hAnsi="Cambria Math" w:cs="Times New Roman"/>
                <w:i/>
                <w:color w:val="auto"/>
                <w:sz w:val="24"/>
                <w:szCs w:val="24"/>
              </w:rPr>
            </m:ctrlPr>
          </m:sSubSup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l</m:t>
            </m:r>
            <m:ctrlPr>
              <w:rPr>
                <w:rFonts w:ascii="Cambria Math" w:hAnsi="Cambria Math" w:cs="Times New Roman"/>
                <w:i/>
                <w:color w:val="auto"/>
                <w:sz w:val="24"/>
                <w:szCs w:val="24"/>
              </w:rPr>
            </m:ctrlPr>
          </m:sub>
          <m:sup>
            <m:r>
              <m:rPr/>
              <w:rPr>
                <w:rFonts w:ascii="Cambria Math" w:hAnsi="Cambria Math" w:cs="Times New Roman"/>
                <w:color w:val="auto"/>
                <w:sz w:val="24"/>
                <w:szCs w:val="24"/>
              </w:rPr>
              <m:t>D</m:t>
            </m:r>
            <m:ctrlPr>
              <w:rPr>
                <w:rFonts w:ascii="Cambria Math" w:hAnsi="Cambria Math" w:cs="Times New Roman"/>
                <w:i/>
                <w:color w:val="auto"/>
                <w:sz w:val="24"/>
                <w:szCs w:val="24"/>
              </w:rPr>
            </m:ctrlPr>
          </m:sup>
        </m:sSubSup>
      </m:oMath>
      <w:r>
        <w:rPr>
          <w:rFonts w:ascii="Times New Roman" w:hAnsi="Times New Roman" w:cs="Times New Roman"/>
          <w:color w:val="auto"/>
          <w:sz w:val="24"/>
          <w:szCs w:val="24"/>
        </w:rPr>
        <w:t xml:space="preserve">. According to the following equation, the </w:t>
      </w: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p</m:t>
            </m:r>
            <m:ctrlPr>
              <w:rPr>
                <w:rFonts w:ascii="Cambria Math" w:hAnsi="Cambria Math" w:cs="Times New Roman"/>
                <w:i/>
                <w:color w:val="auto"/>
                <w:sz w:val="24"/>
                <w:szCs w:val="24"/>
              </w:rPr>
            </m:ctrlPr>
          </m:sub>
        </m:sSub>
      </m:oMath>
      <w:r>
        <w:rPr>
          <w:rFonts w:ascii="Times New Roman" w:hAnsi="Times New Roman" w:cs="Times New Roman"/>
          <w:color w:val="auto"/>
          <w:sz w:val="24"/>
          <w:szCs w:val="24"/>
        </w:rPr>
        <w:t xml:space="preserve"> and </w:t>
      </w: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hint="eastAsia" w:ascii="Cambria Math" w:hAnsi="Cambria Math" w:cs="Times New Roman"/>
                <w:color w:val="auto"/>
                <w:sz w:val="24"/>
                <w:szCs w:val="24"/>
              </w:rPr>
              <m:t>d</m:t>
            </m:r>
            <m:ctrlPr>
              <w:rPr>
                <w:rFonts w:ascii="Cambria Math" w:hAnsi="Cambria Math" w:cs="Times New Roman"/>
                <w:i/>
                <w:color w:val="auto"/>
                <w:sz w:val="24"/>
                <w:szCs w:val="24"/>
              </w:rPr>
            </m:ctrlPr>
          </m:sub>
        </m:sSub>
      </m:oMath>
      <w:r>
        <w:rPr>
          <w:rFonts w:ascii="Times New Roman" w:hAnsi="Times New Roman" w:cs="Times New Roman"/>
          <w:color w:val="auto"/>
          <w:sz w:val="24"/>
          <w:szCs w:val="24"/>
        </w:rPr>
        <w:t xml:space="preserve"> of measured film </w:t>
      </w:r>
      <w:r>
        <w:rPr>
          <w:rFonts w:ascii="Times New Roman" w:hAnsi="Times New Roman" w:eastAsia="宋体" w:cs="Times New Roman"/>
          <w:color w:val="auto"/>
          <w:sz w:val="24"/>
          <w:szCs w:val="24"/>
        </w:rPr>
        <w:t>can be</w:t>
      </w:r>
      <w:r>
        <w:rPr>
          <w:rFonts w:ascii="Times New Roman" w:hAnsi="Times New Roman" w:cs="Times New Roman"/>
          <w:color w:val="auto"/>
          <w:sz w:val="24"/>
          <w:szCs w:val="24"/>
        </w:rPr>
        <w:t xml:space="preserve"> acquired. </w:t>
      </w:r>
    </w:p>
    <w:p w14:paraId="172A73D2">
      <w:pPr>
        <w:spacing w:line="480" w:lineRule="auto"/>
        <w:jc w:val="right"/>
        <w:rPr>
          <w:rFonts w:ascii="Times New Roman" w:hAnsi="Times New Roman" w:cs="Times New Roman"/>
          <w:color w:val="auto"/>
          <w:sz w:val="24"/>
          <w:szCs w:val="24"/>
        </w:rPr>
      </w:pP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l</m:t>
            </m:r>
            <m:ctrlPr>
              <w:rPr>
                <w:rFonts w:ascii="Cambria Math" w:hAnsi="Cambria Math" w:cs="Times New Roman"/>
                <w:i/>
                <w:color w:val="auto"/>
                <w:sz w:val="24"/>
                <w:szCs w:val="24"/>
              </w:rPr>
            </m:ctrlPr>
          </m:sub>
        </m:sSub>
        <m:d>
          <m:dPr>
            <m:ctrlPr>
              <w:rPr>
                <w:rFonts w:ascii="Cambria Math" w:hAnsi="Cambria Math" w:cs="Times New Roman"/>
                <w:i/>
                <w:color w:val="auto"/>
                <w:sz w:val="24"/>
                <w:szCs w:val="24"/>
              </w:rPr>
            </m:ctrlPr>
          </m:dPr>
          <m:e>
            <m:r>
              <m:rPr/>
              <w:rPr>
                <w:rFonts w:ascii="Cambria Math" w:hAnsi="Cambria Math" w:cs="Times New Roman"/>
                <w:color w:val="auto"/>
                <w:sz w:val="24"/>
                <w:szCs w:val="24"/>
              </w:rPr>
              <m:t>1+cosθ</m:t>
            </m:r>
            <m:ctrlPr>
              <w:rPr>
                <w:rFonts w:ascii="Cambria Math" w:hAnsi="Cambria Math" w:cs="Times New Roman"/>
                <w:i/>
                <w:color w:val="auto"/>
                <w:sz w:val="24"/>
                <w:szCs w:val="24"/>
              </w:rPr>
            </m:ctrlPr>
          </m:e>
        </m:d>
        <m:r>
          <m:rPr/>
          <w:rPr>
            <w:rFonts w:ascii="Cambria Math" w:hAnsi="Cambria Math" w:cs="Times New Roman"/>
            <w:color w:val="auto"/>
            <w:sz w:val="24"/>
            <w:szCs w:val="24"/>
          </w:rPr>
          <m:t>=2</m:t>
        </m:r>
        <m:sSup>
          <m:sSupPr>
            <m:ctrlPr>
              <w:rPr>
                <w:rFonts w:ascii="Cambria Math" w:hAnsi="Cambria Math" w:cs="Times New Roman"/>
                <w:i/>
                <w:color w:val="auto"/>
                <w:sz w:val="24"/>
                <w:szCs w:val="24"/>
              </w:rPr>
            </m:ctrlPr>
          </m:sSupPr>
          <m:e>
            <m:d>
              <m:dPr>
                <m:ctrlPr>
                  <w:rPr>
                    <w:rFonts w:ascii="Cambria Math" w:hAnsi="Cambria Math" w:cs="Times New Roman"/>
                    <w:i/>
                    <w:color w:val="auto"/>
                    <w:sz w:val="24"/>
                    <w:szCs w:val="24"/>
                  </w:rPr>
                </m:ctrlPr>
              </m:dPr>
              <m:e>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hint="eastAsia" w:ascii="Cambria Math" w:hAnsi="Cambria Math" w:cs="Times New Roman"/>
                        <w:color w:val="auto"/>
                        <w:sz w:val="24"/>
                        <w:szCs w:val="24"/>
                      </w:rPr>
                      <m:t>d</m:t>
                    </m:r>
                    <m:ctrlPr>
                      <w:rPr>
                        <w:rFonts w:ascii="Cambria Math" w:hAnsi="Cambria Math" w:cs="Times New Roman"/>
                        <w:i/>
                        <w:color w:val="auto"/>
                        <w:sz w:val="24"/>
                        <w:szCs w:val="24"/>
                      </w:rPr>
                    </m:ctrlPr>
                  </m:sub>
                </m:sSub>
                <m:sSubSup>
                  <m:sSubSupPr>
                    <m:ctrlPr>
                      <w:rPr>
                        <w:rFonts w:ascii="Cambria Math" w:hAnsi="Cambria Math" w:cs="Times New Roman"/>
                        <w:i/>
                        <w:color w:val="auto"/>
                        <w:sz w:val="24"/>
                        <w:szCs w:val="24"/>
                      </w:rPr>
                    </m:ctrlPr>
                  </m:sSubSup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l</m:t>
                    </m:r>
                    <m:ctrlPr>
                      <w:rPr>
                        <w:rFonts w:ascii="Cambria Math" w:hAnsi="Cambria Math" w:cs="Times New Roman"/>
                        <w:i/>
                        <w:color w:val="auto"/>
                        <w:sz w:val="24"/>
                        <w:szCs w:val="24"/>
                      </w:rPr>
                    </m:ctrlPr>
                  </m:sub>
                  <m:sup>
                    <m:r>
                      <m:rPr/>
                      <w:rPr>
                        <w:rFonts w:ascii="Cambria Math" w:hAnsi="Cambria Math" w:cs="Times New Roman"/>
                        <w:color w:val="auto"/>
                        <w:sz w:val="24"/>
                        <w:szCs w:val="24"/>
                      </w:rPr>
                      <m:t>D</m:t>
                    </m:r>
                    <m:ctrlPr>
                      <w:rPr>
                        <w:rFonts w:ascii="Cambria Math" w:hAnsi="Cambria Math" w:cs="Times New Roman"/>
                        <w:i/>
                        <w:color w:val="auto"/>
                        <w:sz w:val="24"/>
                        <w:szCs w:val="24"/>
                      </w:rPr>
                    </m:ctrlPr>
                  </m:sup>
                </m:sSubSup>
                <m:ctrlPr>
                  <w:rPr>
                    <w:rFonts w:ascii="Cambria Math" w:hAnsi="Cambria Math" w:cs="Times New Roman"/>
                    <w:i/>
                    <w:color w:val="auto"/>
                    <w:sz w:val="24"/>
                    <w:szCs w:val="24"/>
                  </w:rPr>
                </m:ctrlPr>
              </m:e>
            </m:d>
            <m:ctrlPr>
              <w:rPr>
                <w:rFonts w:ascii="Cambria Math" w:hAnsi="Cambria Math" w:cs="Times New Roman"/>
                <w:i/>
                <w:color w:val="auto"/>
                <w:sz w:val="24"/>
                <w:szCs w:val="24"/>
              </w:rPr>
            </m:ctrlPr>
          </m:e>
          <m:sup>
            <m:r>
              <m:rPr/>
              <w:rPr>
                <w:rFonts w:ascii="Cambria Math" w:hAnsi="Cambria Math" w:cs="Times New Roman"/>
                <w:color w:val="auto"/>
                <w:sz w:val="24"/>
                <w:szCs w:val="24"/>
              </w:rPr>
              <m:t>1/2</m:t>
            </m:r>
            <m:ctrlPr>
              <w:rPr>
                <w:rFonts w:ascii="Cambria Math" w:hAnsi="Cambria Math" w:cs="Times New Roman"/>
                <w:i/>
                <w:color w:val="auto"/>
                <w:sz w:val="24"/>
                <w:szCs w:val="24"/>
              </w:rPr>
            </m:ctrlPr>
          </m:sup>
        </m:sSup>
        <m:r>
          <m:rPr/>
          <w:rPr>
            <w:rFonts w:ascii="Cambria Math" w:hAnsi="Cambria Math" w:cs="Times New Roman"/>
            <w:color w:val="auto"/>
            <w:sz w:val="24"/>
            <w:szCs w:val="24"/>
          </w:rPr>
          <m:t>+2</m:t>
        </m:r>
        <m:sSup>
          <m:sSupPr>
            <m:ctrlPr>
              <w:rPr>
                <w:rFonts w:ascii="Cambria Math" w:hAnsi="Cambria Math" w:cs="Times New Roman"/>
                <w:i/>
                <w:color w:val="auto"/>
                <w:sz w:val="24"/>
                <w:szCs w:val="24"/>
              </w:rPr>
            </m:ctrlPr>
          </m:sSupPr>
          <m:e>
            <m:r>
              <m:rPr/>
              <w:rPr>
                <w:rFonts w:ascii="Cambria Math" w:hAnsi="Cambria Math" w:cs="Times New Roman"/>
                <w:color w:val="auto"/>
                <w:sz w:val="24"/>
                <w:szCs w:val="24"/>
              </w:rPr>
              <m:t>(</m:t>
            </m:r>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p</m:t>
                </m:r>
                <m:ctrlPr>
                  <w:rPr>
                    <w:rFonts w:ascii="Cambria Math" w:hAnsi="Cambria Math" w:cs="Times New Roman"/>
                    <w:i/>
                    <w:color w:val="auto"/>
                    <w:sz w:val="24"/>
                    <w:szCs w:val="24"/>
                  </w:rPr>
                </m:ctrlPr>
              </m:sub>
            </m:sSub>
            <m:sSubSup>
              <m:sSubSupPr>
                <m:ctrlPr>
                  <w:rPr>
                    <w:rFonts w:ascii="Cambria Math" w:hAnsi="Cambria Math" w:cs="Times New Roman"/>
                    <w:i/>
                    <w:color w:val="auto"/>
                    <w:sz w:val="24"/>
                    <w:szCs w:val="24"/>
                  </w:rPr>
                </m:ctrlPr>
              </m:sSubSup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l</m:t>
                </m:r>
                <m:ctrlPr>
                  <w:rPr>
                    <w:rFonts w:ascii="Cambria Math" w:hAnsi="Cambria Math" w:cs="Times New Roman"/>
                    <w:i/>
                    <w:color w:val="auto"/>
                    <w:sz w:val="24"/>
                    <w:szCs w:val="24"/>
                  </w:rPr>
                </m:ctrlPr>
              </m:sub>
              <m:sup>
                <m:r>
                  <m:rPr/>
                  <w:rPr>
                    <w:rFonts w:ascii="Cambria Math" w:hAnsi="Cambria Math" w:cs="Times New Roman"/>
                    <w:color w:val="auto"/>
                    <w:sz w:val="24"/>
                    <w:szCs w:val="24"/>
                  </w:rPr>
                  <m:t>P</m:t>
                </m:r>
                <m:ctrlPr>
                  <w:rPr>
                    <w:rFonts w:ascii="Cambria Math" w:hAnsi="Cambria Math" w:cs="Times New Roman"/>
                    <w:i/>
                    <w:color w:val="auto"/>
                    <w:sz w:val="24"/>
                    <w:szCs w:val="24"/>
                  </w:rPr>
                </m:ctrlPr>
              </m:sup>
            </m:sSubSup>
            <m:r>
              <m:rPr/>
              <w:rPr>
                <w:rFonts w:ascii="Cambria Math" w:hAnsi="Cambria Math" w:cs="Times New Roman"/>
                <w:color w:val="auto"/>
                <w:sz w:val="24"/>
                <w:szCs w:val="24"/>
              </w:rPr>
              <m:t>)</m:t>
            </m:r>
            <m:ctrlPr>
              <w:rPr>
                <w:rFonts w:ascii="Cambria Math" w:hAnsi="Cambria Math" w:cs="Times New Roman"/>
                <w:i/>
                <w:color w:val="auto"/>
                <w:sz w:val="24"/>
                <w:szCs w:val="24"/>
              </w:rPr>
            </m:ctrlPr>
          </m:e>
          <m:sup>
            <m:r>
              <m:rPr/>
              <w:rPr>
                <w:rFonts w:ascii="Cambria Math" w:hAnsi="Cambria Math" w:cs="Times New Roman"/>
                <w:color w:val="auto"/>
                <w:sz w:val="24"/>
                <w:szCs w:val="24"/>
              </w:rPr>
              <m:t>1/2</m:t>
            </m:r>
            <m:ctrlPr>
              <w:rPr>
                <w:rFonts w:ascii="Cambria Math" w:hAnsi="Cambria Math" w:cs="Times New Roman"/>
                <w:i/>
                <w:color w:val="auto"/>
                <w:sz w:val="24"/>
                <w:szCs w:val="24"/>
              </w:rPr>
            </m:ctrlPr>
          </m:sup>
        </m:sSup>
      </m:oMath>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 xml:space="preserve">      (3)</w:t>
      </w:r>
    </w:p>
    <w:p w14:paraId="52A9F46A">
      <w:pPr>
        <w:spacing w:line="480" w:lineRule="auto"/>
        <w:ind w:firstLine="480" w:firstLineChars="200"/>
        <w:rPr>
          <w:rFonts w:ascii="Times New Roman" w:hAnsi="Times New Roman" w:cs="Times New Roman"/>
          <w:color w:val="auto"/>
          <w:sz w:val="24"/>
          <w:szCs w:val="24"/>
        </w:rPr>
      </w:pPr>
      <w:r>
        <w:rPr>
          <w:rFonts w:ascii="Times New Roman" w:hAnsi="Times New Roman" w:cs="Times New Roman"/>
          <w:color w:val="auto"/>
          <w:sz w:val="24"/>
          <w:szCs w:val="24"/>
        </w:rPr>
        <w:t xml:space="preserve">In this work, the water </w:t>
      </w:r>
      <w:r>
        <w:rPr>
          <w:rFonts w:ascii="Times New Roman" w:hAnsi="Times New Roman" w:eastAsia="宋体" w:cs="Times New Roman"/>
          <w:color w:val="auto"/>
          <w:sz w:val="24"/>
          <w:szCs w:val="24"/>
        </w:rPr>
        <w:t>(H</w:t>
      </w:r>
      <w:r>
        <w:rPr>
          <w:rFonts w:ascii="Times New Roman" w:hAnsi="Times New Roman" w:eastAsia="宋体" w:cs="Times New Roman"/>
          <w:color w:val="auto"/>
          <w:sz w:val="24"/>
          <w:szCs w:val="24"/>
          <w:vertAlign w:val="subscript"/>
        </w:rPr>
        <w:t>2</w:t>
      </w:r>
      <w:r>
        <w:rPr>
          <w:rFonts w:ascii="Times New Roman" w:hAnsi="Times New Roman" w:eastAsia="宋体" w:cs="Times New Roman"/>
          <w:color w:val="auto"/>
          <w:sz w:val="24"/>
          <w:szCs w:val="24"/>
        </w:rPr>
        <w:t xml:space="preserve">O) </w:t>
      </w:r>
      <w:r>
        <w:rPr>
          <w:rFonts w:ascii="Times New Roman" w:hAnsi="Times New Roman" w:cs="Times New Roman"/>
          <w:color w:val="auto"/>
          <w:sz w:val="24"/>
          <w:szCs w:val="24"/>
        </w:rPr>
        <w:t xml:space="preserve">and </w:t>
      </w:r>
      <w:r>
        <w:rPr>
          <w:rFonts w:hint="eastAsia" w:ascii="Times New Roman" w:hAnsi="Times New Roman" w:cs="Times New Roman"/>
          <w:color w:val="auto"/>
          <w:kern w:val="0"/>
          <w:sz w:val="24"/>
          <w:szCs w:val="24"/>
        </w:rPr>
        <w:t>ethylene glycol (EG)</w:t>
      </w:r>
      <w:r>
        <w:rPr>
          <w:rFonts w:ascii="Times New Roman" w:hAnsi="Times New Roman" w:eastAsia="宋体" w:cs="Times New Roman"/>
          <w:color w:val="auto"/>
          <w:sz w:val="24"/>
          <w:szCs w:val="24"/>
        </w:rPr>
        <w:t xml:space="preserve"> </w:t>
      </w:r>
      <w:r>
        <w:rPr>
          <w:rFonts w:ascii="Times New Roman" w:hAnsi="Times New Roman" w:cs="Times New Roman"/>
          <w:color w:val="auto"/>
          <w:sz w:val="24"/>
          <w:szCs w:val="24"/>
        </w:rPr>
        <w:t>are used as the testing liquid</w:t>
      </w:r>
      <w:r>
        <w:rPr>
          <w:rFonts w:ascii="Times New Roman" w:hAnsi="Times New Roman" w:eastAsia="宋体" w:cs="Times New Roman"/>
          <w:color w:val="auto"/>
          <w:sz w:val="24"/>
          <w:szCs w:val="24"/>
        </w:rPr>
        <w:t>s</w:t>
      </w:r>
      <w:r>
        <w:rPr>
          <w:rFonts w:ascii="Times New Roman" w:hAnsi="Times New Roman" w:cs="Times New Roman"/>
          <w:color w:val="auto"/>
          <w:sz w:val="24"/>
          <w:szCs w:val="24"/>
        </w:rPr>
        <w:t xml:space="preserve"> to extract the </w:t>
      </w: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ascii="Cambria Math" w:hAnsi="Cambria Math" w:cs="Times New Roman"/>
                <w:color w:val="auto"/>
                <w:sz w:val="24"/>
                <w:szCs w:val="24"/>
              </w:rPr>
              <m:t>p</m:t>
            </m:r>
            <m:ctrlPr>
              <w:rPr>
                <w:rFonts w:ascii="Cambria Math" w:hAnsi="Cambria Math" w:cs="Times New Roman"/>
                <w:i/>
                <w:color w:val="auto"/>
                <w:sz w:val="24"/>
                <w:szCs w:val="24"/>
              </w:rPr>
            </m:ctrlPr>
          </m:sub>
        </m:sSub>
      </m:oMath>
      <w:r>
        <w:rPr>
          <w:rFonts w:ascii="Times New Roman" w:hAnsi="Times New Roman" w:cs="Times New Roman"/>
          <w:color w:val="auto"/>
          <w:sz w:val="24"/>
          <w:szCs w:val="24"/>
        </w:rPr>
        <w:t xml:space="preserve"> and </w:t>
      </w:r>
      <m:oMath>
        <m:sSub>
          <m:sSubPr>
            <m:ctrlPr>
              <w:rPr>
                <w:rFonts w:ascii="Cambria Math" w:hAnsi="Cambria Math" w:cs="Times New Roman"/>
                <w:i/>
                <w:color w:val="auto"/>
                <w:sz w:val="24"/>
                <w:szCs w:val="24"/>
              </w:rPr>
            </m:ctrlPr>
          </m:sSubPr>
          <m:e>
            <m:r>
              <m:rPr/>
              <w:rPr>
                <w:rFonts w:ascii="Cambria Math" w:hAnsi="Cambria Math" w:cs="Times New Roman"/>
                <w:color w:val="auto"/>
                <w:sz w:val="24"/>
                <w:szCs w:val="24"/>
              </w:rPr>
              <m:t>γ</m:t>
            </m:r>
            <m:ctrlPr>
              <w:rPr>
                <w:rFonts w:ascii="Cambria Math" w:hAnsi="Cambria Math" w:cs="Times New Roman"/>
                <w:i/>
                <w:color w:val="auto"/>
                <w:sz w:val="24"/>
                <w:szCs w:val="24"/>
              </w:rPr>
            </m:ctrlPr>
          </m:e>
          <m:sub>
            <m:r>
              <m:rPr/>
              <w:rPr>
                <w:rFonts w:hint="eastAsia" w:ascii="Cambria Math" w:hAnsi="Cambria Math" w:cs="Times New Roman"/>
                <w:color w:val="auto"/>
                <w:sz w:val="24"/>
                <w:szCs w:val="24"/>
              </w:rPr>
              <m:t>d</m:t>
            </m:r>
            <m:ctrlPr>
              <w:rPr>
                <w:rFonts w:ascii="Cambria Math" w:hAnsi="Cambria Math" w:cs="Times New Roman"/>
                <w:i/>
                <w:color w:val="auto"/>
                <w:sz w:val="24"/>
                <w:szCs w:val="24"/>
              </w:rPr>
            </m:ctrlPr>
          </m:sub>
        </m:sSub>
      </m:oMath>
      <w:r>
        <w:rPr>
          <w:rFonts w:ascii="Times New Roman" w:hAnsi="Times New Roman" w:cs="Times New Roman"/>
          <w:color w:val="auto"/>
          <w:sz w:val="24"/>
          <w:szCs w:val="24"/>
        </w:rPr>
        <w:t xml:space="preserve">. </w:t>
      </w:r>
      <w:r>
        <w:rPr>
          <w:rFonts w:ascii="Times New Roman" w:hAnsi="Times New Roman" w:eastAsia="宋体" w:cs="Times New Roman"/>
          <w:color w:val="auto"/>
          <w:sz w:val="24"/>
          <w:szCs w:val="24"/>
        </w:rPr>
        <w:t>T</w:t>
      </w:r>
      <w:r>
        <w:rPr>
          <w:rFonts w:ascii="Times New Roman" w:hAnsi="Times New Roman" w:cs="Times New Roman"/>
          <w:color w:val="auto"/>
          <w:sz w:val="24"/>
          <w:szCs w:val="24"/>
        </w:rPr>
        <w:t xml:space="preserve">he contact angles </w:t>
      </w:r>
      <w:r>
        <w:rPr>
          <w:rFonts w:ascii="Times New Roman" w:hAnsi="Times New Roman" w:eastAsia="宋体" w:cs="Times New Roman"/>
          <w:color w:val="auto"/>
          <w:sz w:val="24"/>
          <w:szCs w:val="24"/>
        </w:rPr>
        <w:t xml:space="preserve">and surface energies </w:t>
      </w:r>
      <w:r>
        <w:rPr>
          <w:rFonts w:ascii="Times New Roman" w:hAnsi="Times New Roman" w:cs="Times New Roman"/>
          <w:color w:val="auto"/>
          <w:sz w:val="24"/>
          <w:szCs w:val="24"/>
        </w:rPr>
        <w:t xml:space="preserve">of </w:t>
      </w:r>
      <w:r>
        <w:rPr>
          <w:rFonts w:ascii="Times New Roman" w:hAnsi="Times New Roman" w:eastAsia="宋体" w:cs="Times New Roman"/>
          <w:color w:val="auto"/>
          <w:sz w:val="24"/>
          <w:szCs w:val="24"/>
        </w:rPr>
        <w:t xml:space="preserve">different </w:t>
      </w:r>
      <w:r>
        <w:rPr>
          <w:rFonts w:ascii="Times New Roman" w:hAnsi="Times New Roman" w:cs="Times New Roman"/>
          <w:color w:val="auto"/>
          <w:sz w:val="24"/>
          <w:szCs w:val="24"/>
        </w:rPr>
        <w:t>film</w:t>
      </w:r>
      <w:r>
        <w:rPr>
          <w:rFonts w:ascii="Times New Roman" w:hAnsi="Times New Roman" w:eastAsia="宋体" w:cs="Times New Roman"/>
          <w:color w:val="auto"/>
          <w:sz w:val="24"/>
          <w:szCs w:val="24"/>
        </w:rPr>
        <w:t>s</w:t>
      </w:r>
      <w:r>
        <w:rPr>
          <w:rFonts w:ascii="Times New Roman" w:hAnsi="Times New Roman" w:cs="Times New Roman"/>
          <w:color w:val="auto"/>
          <w:sz w:val="24"/>
          <w:szCs w:val="24"/>
        </w:rPr>
        <w:t xml:space="preserve"> </w:t>
      </w:r>
      <w:r>
        <w:rPr>
          <w:rFonts w:ascii="Times New Roman" w:hAnsi="Times New Roman" w:eastAsia="宋体" w:cs="Times New Roman"/>
          <w:color w:val="auto"/>
          <w:sz w:val="24"/>
          <w:szCs w:val="24"/>
        </w:rPr>
        <w:t>are</w:t>
      </w:r>
      <w:r>
        <w:rPr>
          <w:rFonts w:ascii="Times New Roman" w:hAnsi="Times New Roman" w:cs="Times New Roman"/>
          <w:color w:val="auto"/>
          <w:sz w:val="24"/>
          <w:szCs w:val="24"/>
        </w:rPr>
        <w:t xml:space="preserve"> illustrated in Table </w:t>
      </w:r>
      <w:r>
        <w:rPr>
          <w:rFonts w:ascii="Times New Roman" w:hAnsi="Times New Roman" w:eastAsia="宋体" w:cs="Times New Roman"/>
          <w:color w:val="auto"/>
          <w:sz w:val="24"/>
          <w:szCs w:val="24"/>
        </w:rPr>
        <w:t>S</w:t>
      </w:r>
      <w:r>
        <w:rPr>
          <w:rFonts w:hint="eastAsia" w:ascii="Times New Roman" w:hAnsi="Times New Roman" w:eastAsia="宋体" w:cs="Times New Roman"/>
          <w:color w:val="auto"/>
          <w:sz w:val="24"/>
          <w:szCs w:val="24"/>
        </w:rPr>
        <w:t>1</w:t>
      </w:r>
      <w:r>
        <w:rPr>
          <w:rFonts w:ascii="Times New Roman" w:hAnsi="Times New Roman" w:cs="Times New Roman"/>
          <w:color w:val="auto"/>
          <w:sz w:val="24"/>
          <w:szCs w:val="24"/>
        </w:rPr>
        <w:t>.</w:t>
      </w:r>
    </w:p>
    <w:p w14:paraId="5D125807">
      <w:pPr>
        <w:autoSpaceDE w:val="0"/>
        <w:autoSpaceDN w:val="0"/>
        <w:adjustRightInd w:val="0"/>
        <w:spacing w:line="360" w:lineRule="auto"/>
        <w:rPr>
          <w:rFonts w:ascii="Times New Roman" w:hAnsi="Times New Roman" w:cs="Times New Roman"/>
          <w:color w:val="auto"/>
          <w:kern w:val="0"/>
          <w:sz w:val="24"/>
          <w:szCs w:val="24"/>
        </w:rPr>
      </w:pPr>
    </w:p>
    <w:p w14:paraId="23C7F65C">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274310" cy="3131820"/>
            <wp:effectExtent l="0" t="0" r="2540" b="0"/>
            <wp:docPr id="1114260370" name="图片 5"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260370" name="图片 5" descr="图表&#10;&#10;AI 生成的内容可能不正确。"/>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4310" cy="3131820"/>
                    </a:xfrm>
                    <a:prstGeom prst="rect">
                      <a:avLst/>
                    </a:prstGeom>
                    <a:noFill/>
                    <a:ln>
                      <a:noFill/>
                    </a:ln>
                  </pic:spPr>
                </pic:pic>
              </a:graphicData>
            </a:graphic>
          </wp:inline>
        </w:drawing>
      </w:r>
    </w:p>
    <w:p w14:paraId="4942FDE4">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S6.</w:t>
      </w:r>
      <w:r>
        <w:rPr>
          <w:rFonts w:hint="eastAsia" w:ascii="Times New Roman" w:hAnsi="Times New Roman" w:cs="Times New Roman"/>
          <w:color w:val="auto"/>
          <w:kern w:val="0"/>
          <w:sz w:val="24"/>
          <w:szCs w:val="24"/>
        </w:rPr>
        <w:t xml:space="preserve"> a) Contact angle images of pure D18, eC9 and SqP films. Top region is water contact angle, ethylene glycol contact angle is located in bottom region. b) Statistical analysis of surface energy and its components for D18, eC9 and SqP films.</w:t>
      </w:r>
    </w:p>
    <w:p w14:paraId="2A12DED5">
      <w:pPr>
        <w:autoSpaceDE w:val="0"/>
        <w:autoSpaceDN w:val="0"/>
        <w:adjustRightInd w:val="0"/>
        <w:spacing w:line="360" w:lineRule="auto"/>
        <w:rPr>
          <w:rFonts w:ascii="Times New Roman" w:hAnsi="Times New Roman" w:cs="Times New Roman"/>
          <w:color w:val="auto"/>
          <w:kern w:val="0"/>
          <w:sz w:val="24"/>
          <w:szCs w:val="24"/>
        </w:rPr>
      </w:pPr>
    </w:p>
    <w:p w14:paraId="30FB6467">
      <w:pPr>
        <w:autoSpaceDE w:val="0"/>
        <w:autoSpaceDN w:val="0"/>
        <w:adjustRightInd w:val="0"/>
        <w:spacing w:line="360" w:lineRule="auto"/>
        <w:rPr>
          <w:rFonts w:ascii="Times New Roman" w:hAnsi="Times New Roman" w:cs="Times New Roman"/>
          <w:color w:val="auto"/>
          <w:kern w:val="0"/>
          <w:sz w:val="24"/>
          <w:szCs w:val="24"/>
        </w:rPr>
      </w:pPr>
    </w:p>
    <w:p w14:paraId="374780C9">
      <w:pPr>
        <w:pStyle w:val="20"/>
        <w:shd w:val="clear" w:color="auto" w:fill="FEFEFE"/>
        <w:snapToGrid w:val="0"/>
        <w:spacing w:after="0" w:line="360" w:lineRule="auto"/>
        <w:ind w:firstLine="0" w:firstLineChars="0"/>
        <w:jc w:val="both"/>
        <w:rPr>
          <w:rFonts w:ascii="Times New Roman" w:hAnsi="Times New Roman" w:cs="Times New Roman"/>
          <w:color w:val="auto"/>
          <w:sz w:val="24"/>
          <w:szCs w:val="24"/>
          <w:lang w:eastAsia="zh-CN"/>
        </w:rPr>
      </w:pPr>
      <w:r>
        <w:rPr>
          <w:rFonts w:ascii="Times New Roman" w:hAnsi="Times New Roman" w:cs="Times New Roman"/>
          <w:b/>
          <w:bCs/>
          <w:color w:val="auto"/>
          <w:sz w:val="24"/>
          <w:szCs w:val="24"/>
          <w:lang w:eastAsia="zh-CN"/>
        </w:rPr>
        <w:t>Table S</w:t>
      </w:r>
      <w:r>
        <w:rPr>
          <w:rFonts w:hint="eastAsia" w:ascii="Times New Roman" w:hAnsi="Times New Roman" w:cs="Times New Roman"/>
          <w:b/>
          <w:bCs/>
          <w:color w:val="auto"/>
          <w:sz w:val="24"/>
          <w:szCs w:val="24"/>
          <w:lang w:eastAsia="zh-CN"/>
        </w:rPr>
        <w:t>1</w:t>
      </w:r>
      <w:r>
        <w:rPr>
          <w:rFonts w:ascii="Times New Roman" w:hAnsi="Times New Roman" w:cs="Times New Roman"/>
          <w:color w:val="auto"/>
          <w:sz w:val="24"/>
          <w:szCs w:val="24"/>
          <w:lang w:eastAsia="zh-CN"/>
        </w:rPr>
        <w:t>. Contact angles and surface tensions</w:t>
      </w:r>
    </w:p>
    <w:tbl>
      <w:tblPr>
        <w:tblStyle w:val="9"/>
        <w:tblW w:w="8312" w:type="dxa"/>
        <w:tblInd w:w="0" w:type="dxa"/>
        <w:tblBorders>
          <w:top w:val="single" w:color="000000" w:sz="8" w:space="0"/>
          <w:left w:val="none" w:color="auto" w:sz="0" w:space="0"/>
          <w:bottom w:val="single" w:color="000000" w:sz="8" w:space="0"/>
          <w:right w:val="none" w:color="auto" w:sz="0" w:space="0"/>
          <w:insideH w:val="single" w:color="000000" w:sz="8" w:space="0"/>
          <w:insideV w:val="none" w:color="auto" w:sz="0" w:space="0"/>
        </w:tblBorders>
        <w:tblLayout w:type="fixed"/>
        <w:tblCellMar>
          <w:top w:w="0" w:type="dxa"/>
          <w:left w:w="0" w:type="dxa"/>
          <w:bottom w:w="0" w:type="dxa"/>
          <w:right w:w="0" w:type="dxa"/>
        </w:tblCellMar>
      </w:tblPr>
      <w:tblGrid>
        <w:gridCol w:w="1183"/>
        <w:gridCol w:w="1173"/>
        <w:gridCol w:w="958"/>
        <w:gridCol w:w="1600"/>
        <w:gridCol w:w="1572"/>
        <w:gridCol w:w="1826"/>
      </w:tblGrid>
      <w:tr w14:paraId="5A13C8FF">
        <w:tblPrEx>
          <w:tblBorders>
            <w:top w:val="single" w:color="000000" w:sz="8" w:space="0"/>
            <w:left w:val="none" w:color="auto" w:sz="0" w:space="0"/>
            <w:bottom w:val="single" w:color="000000" w:sz="8" w:space="0"/>
            <w:right w:val="none" w:color="auto" w:sz="0" w:space="0"/>
            <w:insideH w:val="single" w:color="000000" w:sz="8" w:space="0"/>
            <w:insideV w:val="none" w:color="auto" w:sz="0" w:space="0"/>
          </w:tblBorders>
          <w:tblCellMar>
            <w:top w:w="0" w:type="dxa"/>
            <w:left w:w="0" w:type="dxa"/>
            <w:bottom w:w="0" w:type="dxa"/>
            <w:right w:w="0" w:type="dxa"/>
          </w:tblCellMar>
        </w:tblPrEx>
        <w:trPr>
          <w:trHeight w:val="174" w:hRule="atLeast"/>
        </w:trPr>
        <w:tc>
          <w:tcPr>
            <w:tcW w:w="1183" w:type="dxa"/>
            <w:vMerge w:val="restart"/>
            <w:tcBorders>
              <w:top w:val="single" w:color="000000" w:sz="12" w:space="0"/>
            </w:tcBorders>
            <w:tcMar>
              <w:top w:w="72" w:type="dxa"/>
              <w:left w:w="144" w:type="dxa"/>
              <w:bottom w:w="72" w:type="dxa"/>
              <w:right w:w="144" w:type="dxa"/>
            </w:tcMar>
            <w:vAlign w:val="center"/>
          </w:tcPr>
          <w:p w14:paraId="4D246FCB">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ascii="Times New Roman" w:hAnsi="Times New Roman" w:cs="Times New Roman"/>
                <w:color w:val="auto"/>
                <w:lang w:val="en-US" w:eastAsia="zh-CN"/>
              </w:rPr>
              <w:t>Film</w:t>
            </w:r>
          </w:p>
        </w:tc>
        <w:tc>
          <w:tcPr>
            <w:tcW w:w="2131" w:type="dxa"/>
            <w:gridSpan w:val="2"/>
            <w:tcBorders>
              <w:top w:val="single" w:color="000000" w:sz="12" w:space="0"/>
            </w:tcBorders>
            <w:tcMar>
              <w:top w:w="72" w:type="dxa"/>
              <w:left w:w="144" w:type="dxa"/>
              <w:bottom w:w="72" w:type="dxa"/>
              <w:right w:w="144" w:type="dxa"/>
            </w:tcMar>
            <w:vAlign w:val="center"/>
          </w:tcPr>
          <w:p w14:paraId="09E1913F">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ascii="Times New Roman" w:hAnsi="Times New Roman" w:cs="Times New Roman"/>
                <w:color w:val="auto"/>
                <w:lang w:val="en-US" w:eastAsia="zh-CN"/>
              </w:rPr>
              <w:t>Contact angle [°]</w:t>
            </w:r>
          </w:p>
        </w:tc>
        <w:tc>
          <w:tcPr>
            <w:tcW w:w="1600" w:type="dxa"/>
            <w:vMerge w:val="restart"/>
            <w:tcBorders>
              <w:top w:val="single" w:color="000000" w:sz="12" w:space="0"/>
            </w:tcBorders>
            <w:vAlign w:val="center"/>
          </w:tcPr>
          <w:p w14:paraId="2D8DD0D7">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m:oMath>
              <m:sSub>
                <m:sSubPr>
                  <m:ctrlPr>
                    <w:rPr>
                      <w:rFonts w:ascii="Cambria Math" w:hAnsi="Cambria Math" w:cs="Times New Roman"/>
                      <w:i/>
                      <w:iCs/>
                      <w:color w:val="auto"/>
                      <w:lang w:eastAsia="zh-CN"/>
                    </w:rPr>
                  </m:ctrlPr>
                </m:sSubPr>
                <m:e>
                  <m:r>
                    <m:rPr/>
                    <w:rPr>
                      <w:rFonts w:ascii="Cambria Math" w:hAnsi="Cambria Math" w:cs="Times New Roman"/>
                      <w:color w:val="auto"/>
                      <w:lang w:eastAsia="zh-CN"/>
                    </w:rPr>
                    <m:t>γ</m:t>
                  </m:r>
                  <m:ctrlPr>
                    <w:rPr>
                      <w:rFonts w:ascii="Cambria Math" w:hAnsi="Cambria Math" w:cs="Times New Roman"/>
                      <w:i/>
                      <w:iCs/>
                      <w:color w:val="auto"/>
                      <w:lang w:eastAsia="zh-CN"/>
                    </w:rPr>
                  </m:ctrlPr>
                </m:e>
                <m:sub>
                  <m:r>
                    <m:rPr/>
                    <w:rPr>
                      <w:rFonts w:ascii="Cambria Math" w:hAnsi="Cambria Math" w:cs="Times New Roman"/>
                      <w:color w:val="auto"/>
                      <w:lang w:eastAsia="zh-CN"/>
                    </w:rPr>
                    <m:t>d</m:t>
                  </m:r>
                  <m:ctrlPr>
                    <w:rPr>
                      <w:rFonts w:ascii="Cambria Math" w:hAnsi="Cambria Math" w:cs="Times New Roman"/>
                      <w:i/>
                      <w:iCs/>
                      <w:color w:val="auto"/>
                      <w:lang w:eastAsia="zh-CN"/>
                    </w:rPr>
                  </m:ctrlPr>
                </m:sub>
              </m:sSub>
            </m:oMath>
            <w:r>
              <w:rPr>
                <w:rFonts w:ascii="Times New Roman" w:hAnsi="Times New Roman" w:cs="Times New Roman"/>
                <w:color w:val="auto"/>
                <w:lang w:val="en-US" w:eastAsia="zh-CN"/>
              </w:rPr>
              <w:t>[m</w:t>
            </w:r>
            <w:r>
              <w:rPr>
                <w:rFonts w:hint="eastAsia" w:ascii="Times New Roman" w:hAnsi="Times New Roman" w:cs="Times New Roman"/>
                <w:color w:val="auto"/>
                <w:lang w:val="en-US" w:eastAsia="zh-CN"/>
              </w:rPr>
              <w:t>N</w:t>
            </w:r>
            <w:r>
              <w:rPr>
                <w:rFonts w:ascii="Times New Roman" w:hAnsi="Times New Roman" w:cs="Times New Roman"/>
                <w:color w:val="auto"/>
                <w:lang w:val="en-US" w:eastAsia="zh-CN"/>
              </w:rPr>
              <w:t xml:space="preserve"> m</w:t>
            </w:r>
            <w:r>
              <w:rPr>
                <w:rFonts w:ascii="Times New Roman" w:hAnsi="Times New Roman" w:cs="Times New Roman"/>
                <w:color w:val="auto"/>
                <w:vertAlign w:val="superscript"/>
                <w:lang w:val="en-US" w:eastAsia="zh-CN"/>
              </w:rPr>
              <w:t>-</w:t>
            </w:r>
            <w:r>
              <w:rPr>
                <w:rFonts w:hint="eastAsia" w:ascii="Times New Roman" w:hAnsi="Times New Roman" w:cs="Times New Roman"/>
                <w:color w:val="auto"/>
                <w:vertAlign w:val="superscript"/>
                <w:lang w:val="en-US" w:eastAsia="zh-CN"/>
              </w:rPr>
              <w:t>1</w:t>
            </w:r>
            <w:r>
              <w:rPr>
                <w:rFonts w:ascii="Times New Roman" w:hAnsi="Times New Roman" w:cs="Times New Roman"/>
                <w:color w:val="auto"/>
                <w:lang w:val="en-US" w:eastAsia="zh-CN"/>
              </w:rPr>
              <w:t>]</w:t>
            </w:r>
          </w:p>
        </w:tc>
        <w:tc>
          <w:tcPr>
            <w:tcW w:w="1572" w:type="dxa"/>
            <w:vMerge w:val="restart"/>
            <w:tcBorders>
              <w:top w:val="single" w:color="000000" w:sz="12" w:space="0"/>
            </w:tcBorders>
            <w:vAlign w:val="center"/>
          </w:tcPr>
          <w:p w14:paraId="34918F5D">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m:oMath>
              <m:sSub>
                <m:sSubPr>
                  <m:ctrlPr>
                    <w:rPr>
                      <w:rFonts w:ascii="Cambria Math" w:hAnsi="Cambria Math" w:cs="Times New Roman"/>
                      <w:i/>
                      <w:iCs/>
                      <w:color w:val="auto"/>
                      <w:lang w:eastAsia="zh-CN"/>
                    </w:rPr>
                  </m:ctrlPr>
                </m:sSubPr>
                <m:e>
                  <m:r>
                    <m:rPr/>
                    <w:rPr>
                      <w:rFonts w:ascii="Cambria Math" w:hAnsi="Cambria Math" w:cs="Times New Roman"/>
                      <w:color w:val="auto"/>
                      <w:lang w:eastAsia="zh-CN"/>
                    </w:rPr>
                    <m:t>γ</m:t>
                  </m:r>
                  <m:ctrlPr>
                    <w:rPr>
                      <w:rFonts w:ascii="Cambria Math" w:hAnsi="Cambria Math" w:cs="Times New Roman"/>
                      <w:i/>
                      <w:iCs/>
                      <w:color w:val="auto"/>
                      <w:lang w:eastAsia="zh-CN"/>
                    </w:rPr>
                  </m:ctrlPr>
                </m:e>
                <m:sub>
                  <m:r>
                    <m:rPr/>
                    <w:rPr>
                      <w:rFonts w:ascii="Cambria Math" w:hAnsi="Cambria Math" w:cs="Times New Roman"/>
                      <w:color w:val="auto"/>
                      <w:lang w:eastAsia="zh-CN"/>
                    </w:rPr>
                    <m:t>p</m:t>
                  </m:r>
                  <m:ctrlPr>
                    <w:rPr>
                      <w:rFonts w:ascii="Cambria Math" w:hAnsi="Cambria Math" w:cs="Times New Roman"/>
                      <w:i/>
                      <w:iCs/>
                      <w:color w:val="auto"/>
                      <w:lang w:eastAsia="zh-CN"/>
                    </w:rPr>
                  </m:ctrlPr>
                </m:sub>
              </m:sSub>
            </m:oMath>
            <w:r>
              <w:rPr>
                <w:rFonts w:ascii="Times New Roman" w:hAnsi="Times New Roman" w:cs="Times New Roman"/>
                <w:color w:val="auto"/>
                <w:lang w:val="en-US" w:eastAsia="zh-CN"/>
              </w:rPr>
              <w:t>[m</w:t>
            </w:r>
            <w:r>
              <w:rPr>
                <w:rFonts w:hint="eastAsia" w:ascii="Times New Roman" w:hAnsi="Times New Roman" w:cs="Times New Roman"/>
                <w:color w:val="auto"/>
                <w:lang w:val="en-US" w:eastAsia="zh-CN"/>
              </w:rPr>
              <w:t>N</w:t>
            </w:r>
            <w:r>
              <w:rPr>
                <w:rFonts w:ascii="Times New Roman" w:hAnsi="Times New Roman" w:cs="Times New Roman"/>
                <w:color w:val="auto"/>
                <w:lang w:val="en-US" w:eastAsia="zh-CN"/>
              </w:rPr>
              <w:t xml:space="preserve"> m</w:t>
            </w:r>
            <w:r>
              <w:rPr>
                <w:rFonts w:ascii="Times New Roman" w:hAnsi="Times New Roman" w:cs="Times New Roman"/>
                <w:color w:val="auto"/>
                <w:vertAlign w:val="superscript"/>
                <w:lang w:val="en-US" w:eastAsia="zh-CN"/>
              </w:rPr>
              <w:t>-</w:t>
            </w:r>
            <w:r>
              <w:rPr>
                <w:rFonts w:hint="eastAsia" w:ascii="Times New Roman" w:hAnsi="Times New Roman" w:cs="Times New Roman"/>
                <w:color w:val="auto"/>
                <w:vertAlign w:val="superscript"/>
                <w:lang w:val="en-US" w:eastAsia="zh-CN"/>
              </w:rPr>
              <w:t>1</w:t>
            </w:r>
            <w:r>
              <w:rPr>
                <w:rFonts w:ascii="Times New Roman" w:hAnsi="Times New Roman" w:cs="Times New Roman"/>
                <w:color w:val="auto"/>
                <w:lang w:val="en-US" w:eastAsia="zh-CN"/>
              </w:rPr>
              <w:t>]</w:t>
            </w:r>
          </w:p>
        </w:tc>
        <w:tc>
          <w:tcPr>
            <w:tcW w:w="1826" w:type="dxa"/>
            <w:vMerge w:val="restart"/>
            <w:tcBorders>
              <w:top w:val="single" w:color="000000" w:sz="12" w:space="0"/>
            </w:tcBorders>
            <w:tcMar>
              <w:top w:w="72" w:type="dxa"/>
              <w:left w:w="144" w:type="dxa"/>
              <w:bottom w:w="72" w:type="dxa"/>
              <w:right w:w="144" w:type="dxa"/>
            </w:tcMar>
            <w:vAlign w:val="center"/>
          </w:tcPr>
          <w:p w14:paraId="4F35B2A8">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m:oMath>
              <m:r>
                <m:rPr/>
                <w:rPr>
                  <w:rFonts w:ascii="Cambria Math" w:hAnsi="Cambria Math" w:cs="Times New Roman"/>
                  <w:color w:val="auto"/>
                  <w:lang w:val="en-US" w:eastAsia="zh-CN"/>
                </w:rPr>
                <m:t>γ</m:t>
              </m:r>
            </m:oMath>
            <w:r>
              <w:rPr>
                <w:rFonts w:hint="eastAsia" w:ascii="Times New Roman" w:hAnsi="Times New Roman" w:cs="Times New Roman"/>
                <w:color w:val="auto"/>
                <w:lang w:val="en-US" w:eastAsia="zh-CN"/>
              </w:rPr>
              <w:t xml:space="preserve"> </w:t>
            </w:r>
            <w:r>
              <w:rPr>
                <w:rFonts w:ascii="Times New Roman" w:hAnsi="Times New Roman" w:cs="Times New Roman"/>
                <w:color w:val="auto"/>
                <w:lang w:val="en-US" w:eastAsia="zh-CN"/>
              </w:rPr>
              <w:t>[m</w:t>
            </w:r>
            <w:r>
              <w:rPr>
                <w:rFonts w:hint="eastAsia" w:ascii="Times New Roman" w:hAnsi="Times New Roman" w:cs="Times New Roman"/>
                <w:color w:val="auto"/>
                <w:lang w:val="en-US" w:eastAsia="zh-CN"/>
              </w:rPr>
              <w:t>N</w:t>
            </w:r>
            <w:r>
              <w:rPr>
                <w:rFonts w:ascii="Times New Roman" w:hAnsi="Times New Roman" w:cs="Times New Roman"/>
                <w:color w:val="auto"/>
                <w:lang w:val="en-US" w:eastAsia="zh-CN"/>
              </w:rPr>
              <w:t xml:space="preserve"> m</w:t>
            </w:r>
            <w:r>
              <w:rPr>
                <w:rFonts w:ascii="Times New Roman" w:hAnsi="Times New Roman" w:cs="Times New Roman"/>
                <w:color w:val="auto"/>
                <w:vertAlign w:val="superscript"/>
                <w:lang w:val="en-US" w:eastAsia="zh-CN"/>
              </w:rPr>
              <w:t>-</w:t>
            </w:r>
            <w:r>
              <w:rPr>
                <w:rFonts w:hint="eastAsia" w:ascii="Times New Roman" w:hAnsi="Times New Roman" w:cs="Times New Roman"/>
                <w:color w:val="auto"/>
                <w:vertAlign w:val="superscript"/>
                <w:lang w:val="en-US" w:eastAsia="zh-CN"/>
              </w:rPr>
              <w:t>1</w:t>
            </w:r>
            <w:r>
              <w:rPr>
                <w:rFonts w:ascii="Times New Roman" w:hAnsi="Times New Roman" w:cs="Times New Roman"/>
                <w:color w:val="auto"/>
                <w:lang w:val="en-US" w:eastAsia="zh-CN"/>
              </w:rPr>
              <w:t>]</w:t>
            </w:r>
          </w:p>
        </w:tc>
      </w:tr>
      <w:tr w14:paraId="615A01F0">
        <w:tblPrEx>
          <w:tblBorders>
            <w:top w:val="single" w:color="000000" w:sz="8" w:space="0"/>
            <w:left w:val="none" w:color="auto" w:sz="0" w:space="0"/>
            <w:bottom w:val="single" w:color="000000" w:sz="8" w:space="0"/>
            <w:right w:val="none" w:color="auto" w:sz="0" w:space="0"/>
            <w:insideH w:val="single" w:color="000000" w:sz="8" w:space="0"/>
            <w:insideV w:val="none" w:color="auto" w:sz="0" w:space="0"/>
          </w:tblBorders>
          <w:tblCellMar>
            <w:top w:w="0" w:type="dxa"/>
            <w:left w:w="0" w:type="dxa"/>
            <w:bottom w:w="0" w:type="dxa"/>
            <w:right w:w="0" w:type="dxa"/>
          </w:tblCellMar>
        </w:tblPrEx>
        <w:trPr>
          <w:trHeight w:val="174" w:hRule="atLeast"/>
        </w:trPr>
        <w:tc>
          <w:tcPr>
            <w:tcW w:w="1183" w:type="dxa"/>
            <w:vMerge w:val="continue"/>
            <w:tcBorders>
              <w:bottom w:val="single" w:color="000000" w:sz="8" w:space="0"/>
            </w:tcBorders>
            <w:vAlign w:val="center"/>
          </w:tcPr>
          <w:p w14:paraId="4412C30A">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p>
        </w:tc>
        <w:tc>
          <w:tcPr>
            <w:tcW w:w="1173" w:type="dxa"/>
            <w:tcBorders>
              <w:bottom w:val="single" w:color="000000" w:sz="8" w:space="0"/>
            </w:tcBorders>
            <w:tcMar>
              <w:top w:w="72" w:type="dxa"/>
              <w:left w:w="144" w:type="dxa"/>
              <w:bottom w:w="72" w:type="dxa"/>
              <w:right w:w="144" w:type="dxa"/>
            </w:tcMar>
            <w:vAlign w:val="center"/>
          </w:tcPr>
          <w:p w14:paraId="1ED13FC2">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ascii="Times New Roman" w:hAnsi="Times New Roman" w:cs="Times New Roman"/>
                <w:color w:val="auto"/>
                <w:lang w:val="en-US" w:eastAsia="zh-CN"/>
              </w:rPr>
              <w:t>H</w:t>
            </w:r>
            <w:r>
              <w:rPr>
                <w:rFonts w:ascii="Times New Roman" w:hAnsi="Times New Roman" w:cs="Times New Roman"/>
                <w:color w:val="auto"/>
                <w:vertAlign w:val="subscript"/>
                <w:lang w:val="en-US" w:eastAsia="zh-CN"/>
              </w:rPr>
              <w:t>2</w:t>
            </w:r>
            <w:r>
              <w:rPr>
                <w:rFonts w:ascii="Times New Roman" w:hAnsi="Times New Roman" w:cs="Times New Roman"/>
                <w:color w:val="auto"/>
                <w:lang w:val="en-US" w:eastAsia="zh-CN"/>
              </w:rPr>
              <w:t>O</w:t>
            </w:r>
          </w:p>
        </w:tc>
        <w:tc>
          <w:tcPr>
            <w:tcW w:w="957" w:type="dxa"/>
            <w:tcBorders>
              <w:bottom w:val="single" w:color="000000" w:sz="8" w:space="0"/>
            </w:tcBorders>
            <w:tcMar>
              <w:top w:w="72" w:type="dxa"/>
              <w:left w:w="144" w:type="dxa"/>
              <w:bottom w:w="72" w:type="dxa"/>
              <w:right w:w="144" w:type="dxa"/>
            </w:tcMar>
            <w:vAlign w:val="center"/>
          </w:tcPr>
          <w:p w14:paraId="5C87C93F">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ascii="Times New Roman" w:hAnsi="Times New Roman" w:cs="Times New Roman"/>
                <w:color w:val="auto"/>
                <w:lang w:val="en-US" w:eastAsia="zh-CN"/>
              </w:rPr>
              <w:t>EG</w:t>
            </w:r>
          </w:p>
        </w:tc>
        <w:tc>
          <w:tcPr>
            <w:tcW w:w="1600" w:type="dxa"/>
            <w:vMerge w:val="continue"/>
            <w:tcBorders>
              <w:bottom w:val="single" w:color="000000" w:sz="8" w:space="0"/>
            </w:tcBorders>
            <w:vAlign w:val="center"/>
          </w:tcPr>
          <w:p w14:paraId="60405292">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p>
        </w:tc>
        <w:tc>
          <w:tcPr>
            <w:tcW w:w="1572" w:type="dxa"/>
            <w:vMerge w:val="continue"/>
            <w:tcBorders>
              <w:bottom w:val="single" w:color="000000" w:sz="8" w:space="0"/>
            </w:tcBorders>
            <w:vAlign w:val="center"/>
          </w:tcPr>
          <w:p w14:paraId="1EAC9F55">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p>
        </w:tc>
        <w:tc>
          <w:tcPr>
            <w:tcW w:w="1826" w:type="dxa"/>
            <w:vMerge w:val="continue"/>
            <w:tcBorders>
              <w:bottom w:val="single" w:color="000000" w:sz="8" w:space="0"/>
            </w:tcBorders>
            <w:vAlign w:val="center"/>
          </w:tcPr>
          <w:p w14:paraId="5F692FC2">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p>
        </w:tc>
      </w:tr>
      <w:tr w14:paraId="00C0C25D">
        <w:tblPrEx>
          <w:tblBorders>
            <w:top w:val="single" w:color="000000" w:sz="8" w:space="0"/>
            <w:left w:val="none" w:color="auto" w:sz="0" w:space="0"/>
            <w:bottom w:val="single" w:color="000000" w:sz="8" w:space="0"/>
            <w:right w:val="none" w:color="auto" w:sz="0" w:space="0"/>
            <w:insideH w:val="single" w:color="000000" w:sz="8" w:space="0"/>
            <w:insideV w:val="none" w:color="auto" w:sz="0" w:space="0"/>
          </w:tblBorders>
          <w:tblCellMar>
            <w:top w:w="0" w:type="dxa"/>
            <w:left w:w="0" w:type="dxa"/>
            <w:bottom w:w="0" w:type="dxa"/>
            <w:right w:w="0" w:type="dxa"/>
          </w:tblCellMar>
        </w:tblPrEx>
        <w:trPr>
          <w:trHeight w:val="150" w:hRule="atLeast"/>
        </w:trPr>
        <w:tc>
          <w:tcPr>
            <w:tcW w:w="1183" w:type="dxa"/>
            <w:tcBorders>
              <w:bottom w:val="nil"/>
            </w:tcBorders>
            <w:tcMar>
              <w:top w:w="72" w:type="dxa"/>
              <w:left w:w="144" w:type="dxa"/>
              <w:bottom w:w="72" w:type="dxa"/>
              <w:right w:w="144" w:type="dxa"/>
            </w:tcMar>
            <w:vAlign w:val="center"/>
          </w:tcPr>
          <w:p w14:paraId="55093392">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D18</w:t>
            </w:r>
          </w:p>
        </w:tc>
        <w:tc>
          <w:tcPr>
            <w:tcW w:w="1173" w:type="dxa"/>
            <w:tcBorders>
              <w:bottom w:val="nil"/>
            </w:tcBorders>
            <w:tcMar>
              <w:top w:w="72" w:type="dxa"/>
              <w:left w:w="144" w:type="dxa"/>
              <w:bottom w:w="72" w:type="dxa"/>
              <w:right w:w="144" w:type="dxa"/>
            </w:tcMar>
            <w:vAlign w:val="center"/>
          </w:tcPr>
          <w:p w14:paraId="5D0C4AA5">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102.5</w:t>
            </w:r>
          </w:p>
        </w:tc>
        <w:tc>
          <w:tcPr>
            <w:tcW w:w="957" w:type="dxa"/>
            <w:tcBorders>
              <w:bottom w:val="nil"/>
            </w:tcBorders>
            <w:tcMar>
              <w:top w:w="72" w:type="dxa"/>
              <w:left w:w="144" w:type="dxa"/>
              <w:bottom w:w="72" w:type="dxa"/>
              <w:right w:w="144" w:type="dxa"/>
            </w:tcMar>
            <w:vAlign w:val="center"/>
          </w:tcPr>
          <w:p w14:paraId="3B987748">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75.6</w:t>
            </w:r>
          </w:p>
        </w:tc>
        <w:tc>
          <w:tcPr>
            <w:tcW w:w="1600" w:type="dxa"/>
            <w:tcBorders>
              <w:bottom w:val="nil"/>
            </w:tcBorders>
            <w:vAlign w:val="center"/>
          </w:tcPr>
          <w:p w14:paraId="6324C8BD">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24.55</w:t>
            </w:r>
          </w:p>
        </w:tc>
        <w:tc>
          <w:tcPr>
            <w:tcW w:w="1572" w:type="dxa"/>
            <w:tcBorders>
              <w:bottom w:val="nil"/>
            </w:tcBorders>
            <w:vAlign w:val="center"/>
          </w:tcPr>
          <w:p w14:paraId="1535F4B9">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0.57</w:t>
            </w:r>
          </w:p>
        </w:tc>
        <w:tc>
          <w:tcPr>
            <w:tcW w:w="1826" w:type="dxa"/>
            <w:tcBorders>
              <w:bottom w:val="nil"/>
            </w:tcBorders>
            <w:tcMar>
              <w:top w:w="72" w:type="dxa"/>
              <w:left w:w="144" w:type="dxa"/>
              <w:bottom w:w="72" w:type="dxa"/>
              <w:right w:w="144" w:type="dxa"/>
            </w:tcMar>
            <w:vAlign w:val="center"/>
          </w:tcPr>
          <w:p w14:paraId="51FA0C90">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ascii="Times New Roman" w:hAnsi="Times New Roman" w:cs="Times New Roman"/>
                <w:color w:val="auto"/>
                <w:lang w:val="en-US" w:eastAsia="zh-CN"/>
              </w:rPr>
              <w:t>2</w:t>
            </w:r>
            <w:r>
              <w:rPr>
                <w:rFonts w:hint="eastAsia" w:ascii="Times New Roman" w:hAnsi="Times New Roman" w:cs="Times New Roman"/>
                <w:color w:val="auto"/>
                <w:lang w:val="en-US" w:eastAsia="zh-CN"/>
              </w:rPr>
              <w:t>5.12</w:t>
            </w:r>
          </w:p>
        </w:tc>
      </w:tr>
      <w:tr w14:paraId="3FA6F1CC">
        <w:tblPrEx>
          <w:tblBorders>
            <w:top w:val="single" w:color="000000" w:sz="8" w:space="0"/>
            <w:left w:val="none" w:color="auto" w:sz="0" w:space="0"/>
            <w:bottom w:val="single" w:color="000000" w:sz="8" w:space="0"/>
            <w:right w:val="none" w:color="auto" w:sz="0" w:space="0"/>
            <w:insideH w:val="single" w:color="000000" w:sz="8" w:space="0"/>
            <w:insideV w:val="none" w:color="auto" w:sz="0" w:space="0"/>
          </w:tblBorders>
          <w:tblCellMar>
            <w:top w:w="0" w:type="dxa"/>
            <w:left w:w="0" w:type="dxa"/>
            <w:bottom w:w="0" w:type="dxa"/>
            <w:right w:w="0" w:type="dxa"/>
          </w:tblCellMar>
        </w:tblPrEx>
        <w:trPr>
          <w:trHeight w:val="150" w:hRule="atLeast"/>
        </w:trPr>
        <w:tc>
          <w:tcPr>
            <w:tcW w:w="1183" w:type="dxa"/>
            <w:tcBorders>
              <w:top w:val="nil"/>
              <w:bottom w:val="nil"/>
            </w:tcBorders>
            <w:tcMar>
              <w:top w:w="72" w:type="dxa"/>
              <w:left w:w="144" w:type="dxa"/>
              <w:bottom w:w="72" w:type="dxa"/>
              <w:right w:w="144" w:type="dxa"/>
            </w:tcMar>
            <w:vAlign w:val="center"/>
          </w:tcPr>
          <w:p w14:paraId="7DED1949">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D18 HS</w:t>
            </w:r>
          </w:p>
        </w:tc>
        <w:tc>
          <w:tcPr>
            <w:tcW w:w="1173" w:type="dxa"/>
            <w:tcBorders>
              <w:top w:val="nil"/>
              <w:bottom w:val="nil"/>
            </w:tcBorders>
            <w:tcMar>
              <w:top w:w="72" w:type="dxa"/>
              <w:left w:w="144" w:type="dxa"/>
              <w:bottom w:w="72" w:type="dxa"/>
              <w:right w:w="144" w:type="dxa"/>
            </w:tcMar>
            <w:vAlign w:val="center"/>
          </w:tcPr>
          <w:p w14:paraId="0BF00BDF">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102.6</w:t>
            </w:r>
          </w:p>
        </w:tc>
        <w:tc>
          <w:tcPr>
            <w:tcW w:w="957" w:type="dxa"/>
            <w:tcBorders>
              <w:top w:val="nil"/>
              <w:bottom w:val="nil"/>
            </w:tcBorders>
            <w:tcMar>
              <w:top w:w="72" w:type="dxa"/>
              <w:left w:w="144" w:type="dxa"/>
              <w:bottom w:w="72" w:type="dxa"/>
              <w:right w:w="144" w:type="dxa"/>
            </w:tcMar>
            <w:vAlign w:val="center"/>
          </w:tcPr>
          <w:p w14:paraId="13041CE4">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74.7</w:t>
            </w:r>
          </w:p>
        </w:tc>
        <w:tc>
          <w:tcPr>
            <w:tcW w:w="1600" w:type="dxa"/>
            <w:tcBorders>
              <w:top w:val="nil"/>
              <w:bottom w:val="nil"/>
            </w:tcBorders>
            <w:vAlign w:val="center"/>
          </w:tcPr>
          <w:p w14:paraId="1FD5171E">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26.15</w:t>
            </w:r>
          </w:p>
        </w:tc>
        <w:tc>
          <w:tcPr>
            <w:tcW w:w="1572" w:type="dxa"/>
            <w:tcBorders>
              <w:top w:val="nil"/>
              <w:bottom w:val="nil"/>
            </w:tcBorders>
            <w:vAlign w:val="center"/>
          </w:tcPr>
          <w:p w14:paraId="4CE4ADE5">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0.41</w:t>
            </w:r>
          </w:p>
        </w:tc>
        <w:tc>
          <w:tcPr>
            <w:tcW w:w="1826" w:type="dxa"/>
            <w:tcBorders>
              <w:top w:val="nil"/>
              <w:bottom w:val="nil"/>
            </w:tcBorders>
            <w:tcMar>
              <w:top w:w="72" w:type="dxa"/>
              <w:left w:w="144" w:type="dxa"/>
              <w:bottom w:w="72" w:type="dxa"/>
              <w:right w:w="144" w:type="dxa"/>
            </w:tcMar>
            <w:vAlign w:val="center"/>
          </w:tcPr>
          <w:p w14:paraId="7BEFF56B">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26.55</w:t>
            </w:r>
          </w:p>
        </w:tc>
      </w:tr>
      <w:tr w14:paraId="2301FFA9">
        <w:tblPrEx>
          <w:tblBorders>
            <w:top w:val="single" w:color="000000" w:sz="8" w:space="0"/>
            <w:left w:val="none" w:color="auto" w:sz="0" w:space="0"/>
            <w:bottom w:val="single" w:color="000000" w:sz="8" w:space="0"/>
            <w:right w:val="none" w:color="auto" w:sz="0" w:space="0"/>
            <w:insideH w:val="single" w:color="000000" w:sz="8" w:space="0"/>
            <w:insideV w:val="none" w:color="auto" w:sz="0" w:space="0"/>
          </w:tblBorders>
          <w:tblCellMar>
            <w:top w:w="0" w:type="dxa"/>
            <w:left w:w="0" w:type="dxa"/>
            <w:bottom w:w="0" w:type="dxa"/>
            <w:right w:w="0" w:type="dxa"/>
          </w:tblCellMar>
        </w:tblPrEx>
        <w:trPr>
          <w:trHeight w:val="150" w:hRule="atLeast"/>
        </w:trPr>
        <w:tc>
          <w:tcPr>
            <w:tcW w:w="1183" w:type="dxa"/>
            <w:tcBorders>
              <w:top w:val="nil"/>
              <w:bottom w:val="single" w:color="000000" w:sz="8" w:space="0"/>
            </w:tcBorders>
            <w:tcMar>
              <w:top w:w="72" w:type="dxa"/>
              <w:left w:w="144" w:type="dxa"/>
              <w:bottom w:w="72" w:type="dxa"/>
              <w:right w:w="144" w:type="dxa"/>
            </w:tcMar>
            <w:vAlign w:val="center"/>
          </w:tcPr>
          <w:p w14:paraId="0296F68E">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eC9</w:t>
            </w:r>
          </w:p>
        </w:tc>
        <w:tc>
          <w:tcPr>
            <w:tcW w:w="1173" w:type="dxa"/>
            <w:tcBorders>
              <w:top w:val="nil"/>
              <w:bottom w:val="single" w:color="000000" w:sz="8" w:space="0"/>
            </w:tcBorders>
            <w:tcMar>
              <w:top w:w="72" w:type="dxa"/>
              <w:left w:w="144" w:type="dxa"/>
              <w:bottom w:w="72" w:type="dxa"/>
              <w:right w:w="144" w:type="dxa"/>
            </w:tcMar>
            <w:vAlign w:val="center"/>
          </w:tcPr>
          <w:p w14:paraId="747D5816">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92.8</w:t>
            </w:r>
          </w:p>
        </w:tc>
        <w:tc>
          <w:tcPr>
            <w:tcW w:w="957" w:type="dxa"/>
            <w:tcBorders>
              <w:top w:val="nil"/>
              <w:bottom w:val="single" w:color="000000" w:sz="8" w:space="0"/>
            </w:tcBorders>
            <w:tcMar>
              <w:top w:w="72" w:type="dxa"/>
              <w:left w:w="144" w:type="dxa"/>
              <w:bottom w:w="72" w:type="dxa"/>
              <w:right w:w="144" w:type="dxa"/>
            </w:tcMar>
            <w:vAlign w:val="center"/>
          </w:tcPr>
          <w:p w14:paraId="07A92E2C">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63.9</w:t>
            </w:r>
          </w:p>
        </w:tc>
        <w:tc>
          <w:tcPr>
            <w:tcW w:w="1600" w:type="dxa"/>
            <w:tcBorders>
              <w:top w:val="nil"/>
              <w:bottom w:val="single" w:color="000000" w:sz="8" w:space="0"/>
            </w:tcBorders>
            <w:vAlign w:val="center"/>
          </w:tcPr>
          <w:p w14:paraId="005D00DD">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28.05</w:t>
            </w:r>
          </w:p>
        </w:tc>
        <w:tc>
          <w:tcPr>
            <w:tcW w:w="1572" w:type="dxa"/>
            <w:tcBorders>
              <w:top w:val="nil"/>
              <w:bottom w:val="single" w:color="000000" w:sz="8" w:space="0"/>
            </w:tcBorders>
            <w:vAlign w:val="center"/>
          </w:tcPr>
          <w:p w14:paraId="0AF6DE94">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1.92</w:t>
            </w:r>
          </w:p>
        </w:tc>
        <w:tc>
          <w:tcPr>
            <w:tcW w:w="1826" w:type="dxa"/>
            <w:tcBorders>
              <w:top w:val="nil"/>
              <w:bottom w:val="single" w:color="000000" w:sz="8" w:space="0"/>
            </w:tcBorders>
            <w:tcMar>
              <w:top w:w="72" w:type="dxa"/>
              <w:left w:w="144" w:type="dxa"/>
              <w:bottom w:w="72" w:type="dxa"/>
              <w:right w:w="144" w:type="dxa"/>
            </w:tcMar>
            <w:vAlign w:val="center"/>
          </w:tcPr>
          <w:p w14:paraId="3BC58166">
            <w:pPr>
              <w:pStyle w:val="20"/>
              <w:shd w:val="clear" w:color="auto" w:fill="FEFEFE"/>
              <w:snapToGrid w:val="0"/>
              <w:spacing w:after="0" w:line="240" w:lineRule="auto"/>
              <w:ind w:firstLine="0" w:firstLineChars="0"/>
              <w:jc w:val="center"/>
              <w:rPr>
                <w:rFonts w:ascii="Times New Roman" w:hAnsi="Times New Roman" w:cs="Times New Roman"/>
                <w:color w:val="auto"/>
                <w:lang w:val="en-US" w:eastAsia="zh-CN"/>
              </w:rPr>
            </w:pPr>
            <w:r>
              <w:rPr>
                <w:rFonts w:hint="eastAsia" w:ascii="Times New Roman" w:hAnsi="Times New Roman" w:cs="Times New Roman"/>
                <w:color w:val="auto"/>
                <w:lang w:val="en-US" w:eastAsia="zh-CN"/>
              </w:rPr>
              <w:t>29.97</w:t>
            </w:r>
          </w:p>
        </w:tc>
      </w:tr>
    </w:tbl>
    <w:p w14:paraId="1EB9CA3E">
      <w:pPr>
        <w:autoSpaceDE w:val="0"/>
        <w:autoSpaceDN w:val="0"/>
        <w:adjustRightInd w:val="0"/>
        <w:spacing w:line="360" w:lineRule="auto"/>
        <w:rPr>
          <w:rFonts w:ascii="Times New Roman" w:hAnsi="Times New Roman" w:cs="Times New Roman"/>
          <w:color w:val="auto"/>
          <w:kern w:val="0"/>
          <w:sz w:val="24"/>
          <w:szCs w:val="24"/>
        </w:rPr>
      </w:pPr>
    </w:p>
    <w:p w14:paraId="589069D0">
      <w:pPr>
        <w:autoSpaceDE w:val="0"/>
        <w:autoSpaceDN w:val="0"/>
        <w:adjustRightInd w:val="0"/>
        <w:spacing w:line="360" w:lineRule="auto"/>
        <w:rPr>
          <w:rFonts w:ascii="Times New Roman" w:hAnsi="Times New Roman" w:cs="Times New Roman"/>
          <w:color w:val="auto"/>
          <w:kern w:val="0"/>
          <w:sz w:val="24"/>
          <w:szCs w:val="24"/>
        </w:rPr>
      </w:pPr>
    </w:p>
    <w:p w14:paraId="373840BB">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4628515" cy="3622040"/>
            <wp:effectExtent l="0" t="0" r="635" b="0"/>
            <wp:docPr id="52476858" name="图片 4"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6858" name="图片 4" descr="图表, 直方图&#10;&#10;AI 生成的内容可能不正确。"/>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628515" cy="3622040"/>
                    </a:xfrm>
                    <a:prstGeom prst="rect">
                      <a:avLst/>
                    </a:prstGeom>
                    <a:noFill/>
                    <a:ln>
                      <a:noFill/>
                    </a:ln>
                  </pic:spPr>
                </pic:pic>
              </a:graphicData>
            </a:graphic>
          </wp:inline>
        </w:drawing>
      </w:r>
    </w:p>
    <w:p w14:paraId="04181C8E">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S7</w:t>
      </w:r>
      <w:r>
        <w:rPr>
          <w:rFonts w:hint="eastAsia" w:ascii="Times New Roman" w:hAnsi="Times New Roman" w:cs="Times New Roman"/>
          <w:color w:val="auto"/>
          <w:kern w:val="0"/>
          <w:sz w:val="24"/>
          <w:szCs w:val="24"/>
        </w:rPr>
        <w:t xml:space="preserve">. a,b) Absorption spectra at representative times of D18 and D18 HS film </w:t>
      </w:r>
      <w:r>
        <w:rPr>
          <w:rFonts w:ascii="Times New Roman" w:hAnsi="Times New Roman" w:cs="Times New Roman"/>
          <w:color w:val="auto"/>
          <w:kern w:val="0"/>
          <w:sz w:val="24"/>
          <w:szCs w:val="24"/>
        </w:rPr>
        <w:t xml:space="preserve">during spin-coating process. c) </w:t>
      </w:r>
      <w:r>
        <w:rPr>
          <w:rFonts w:ascii="Times New Roman" w:hAnsi="Times New Roman" w:cs="Times New Roman"/>
          <w:i/>
          <w:iCs/>
          <w:color w:val="auto"/>
          <w:kern w:val="0"/>
          <w:sz w:val="24"/>
          <w:szCs w:val="24"/>
        </w:rPr>
        <w:t>In situ</w:t>
      </w:r>
      <w:r>
        <w:rPr>
          <w:rFonts w:ascii="Times New Roman" w:hAnsi="Times New Roman" w:cs="Times New Roman"/>
          <w:color w:val="auto"/>
          <w:kern w:val="0"/>
          <w:sz w:val="24"/>
          <w:szCs w:val="24"/>
        </w:rPr>
        <w:t xml:space="preserve"> 2D absorption spectroscopy monitoring the formation of D18 films during spin-coating, herein, D18 solution was preheat under 80℃</w:t>
      </w:r>
      <w:r>
        <w:rPr>
          <w:rFonts w:hint="eastAsia" w:ascii="Times New Roman" w:hAnsi="Times New Roman" w:cs="Times New Roman"/>
          <w:color w:val="auto"/>
          <w:kern w:val="0"/>
          <w:sz w:val="24"/>
          <w:szCs w:val="24"/>
        </w:rPr>
        <w:t>, the horizontal scale bar denotes absorption intensity. d</w:t>
      </w:r>
      <w:r>
        <w:rPr>
          <w:rFonts w:ascii="Times New Roman" w:hAnsi="Times New Roman" w:cs="Times New Roman"/>
          <w:color w:val="auto"/>
          <w:kern w:val="0"/>
          <w:sz w:val="24"/>
          <w:szCs w:val="24"/>
        </w:rPr>
        <w:t>)</w:t>
      </w:r>
      <w:r>
        <w:rPr>
          <w:rFonts w:hint="eastAsia" w:ascii="Times New Roman" w:hAnsi="Times New Roman" w:cs="Times New Roman"/>
          <w:color w:val="auto"/>
          <w:kern w:val="0"/>
          <w:sz w:val="24"/>
          <w:szCs w:val="24"/>
        </w:rPr>
        <w:t xml:space="preserve"> Absorption spectra at representative times of D18 hot-solution </w:t>
      </w:r>
      <w:r>
        <w:rPr>
          <w:rFonts w:ascii="Times New Roman" w:hAnsi="Times New Roman" w:cs="Times New Roman"/>
          <w:color w:val="auto"/>
          <w:kern w:val="0"/>
          <w:sz w:val="24"/>
          <w:szCs w:val="24"/>
        </w:rPr>
        <w:t>during spin-coating process</w:t>
      </w:r>
      <w:r>
        <w:rPr>
          <w:rFonts w:hint="eastAsia" w:ascii="Times New Roman" w:hAnsi="Times New Roman" w:cs="Times New Roman"/>
          <w:color w:val="auto"/>
          <w:kern w:val="0"/>
          <w:sz w:val="24"/>
          <w:szCs w:val="24"/>
        </w:rPr>
        <w:t>.</w:t>
      </w:r>
    </w:p>
    <w:p w14:paraId="2C0C262A">
      <w:pPr>
        <w:autoSpaceDE w:val="0"/>
        <w:autoSpaceDN w:val="0"/>
        <w:adjustRightInd w:val="0"/>
        <w:spacing w:line="360" w:lineRule="auto"/>
        <w:rPr>
          <w:rFonts w:ascii="Times New Roman" w:hAnsi="Times New Roman" w:cs="Times New Roman"/>
          <w:color w:val="auto"/>
          <w:kern w:val="0"/>
          <w:sz w:val="24"/>
          <w:szCs w:val="24"/>
        </w:rPr>
      </w:pPr>
    </w:p>
    <w:p w14:paraId="6920E409">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3530600" cy="1608455"/>
            <wp:effectExtent l="0" t="0" r="0" b="0"/>
            <wp:docPr id="1716256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25697"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530600" cy="1608455"/>
                    </a:xfrm>
                    <a:prstGeom prst="rect">
                      <a:avLst/>
                    </a:prstGeom>
                    <a:noFill/>
                    <a:ln>
                      <a:noFill/>
                    </a:ln>
                  </pic:spPr>
                </pic:pic>
              </a:graphicData>
            </a:graphic>
          </wp:inline>
        </w:drawing>
      </w:r>
    </w:p>
    <w:p w14:paraId="2DD911C0">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S8</w:t>
      </w:r>
      <w:r>
        <w:rPr>
          <w:rFonts w:hint="eastAsia" w:ascii="Times New Roman" w:hAnsi="Times New Roman" w:cs="Times New Roman"/>
          <w:color w:val="auto"/>
          <w:kern w:val="0"/>
          <w:sz w:val="24"/>
          <w:szCs w:val="24"/>
        </w:rPr>
        <w:t xml:space="preserve">. Extracted D18 liquid phase and nucleation time from the formation process of D18, D18-HS D18-hot solution film. </w:t>
      </w:r>
    </w:p>
    <w:p w14:paraId="7B8ABC7A">
      <w:pPr>
        <w:autoSpaceDE w:val="0"/>
        <w:autoSpaceDN w:val="0"/>
        <w:adjustRightInd w:val="0"/>
        <w:spacing w:line="360" w:lineRule="auto"/>
        <w:rPr>
          <w:rFonts w:ascii="Times New Roman" w:hAnsi="Times New Roman" w:cs="Times New Roman"/>
          <w:color w:val="auto"/>
          <w:kern w:val="0"/>
          <w:sz w:val="24"/>
          <w:szCs w:val="24"/>
        </w:rPr>
      </w:pPr>
    </w:p>
    <w:p w14:paraId="146D8A56">
      <w:pPr>
        <w:autoSpaceDE w:val="0"/>
        <w:autoSpaceDN w:val="0"/>
        <w:adjustRightInd w:val="0"/>
        <w:spacing w:line="360" w:lineRule="auto"/>
        <w:rPr>
          <w:rFonts w:ascii="Times New Roman" w:hAnsi="Times New Roman" w:cs="Times New Roman"/>
          <w:color w:val="auto"/>
          <w:kern w:val="0"/>
          <w:sz w:val="24"/>
          <w:szCs w:val="24"/>
        </w:rPr>
      </w:pPr>
    </w:p>
    <w:p w14:paraId="4960BC04">
      <w:pPr>
        <w:autoSpaceDE w:val="0"/>
        <w:autoSpaceDN w:val="0"/>
        <w:adjustRightInd w:val="0"/>
        <w:spacing w:line="360" w:lineRule="auto"/>
        <w:rPr>
          <w:rFonts w:ascii="Times New Roman" w:hAnsi="Times New Roman" w:cs="Times New Roman"/>
          <w:color w:val="auto"/>
          <w:kern w:val="0"/>
          <w:sz w:val="24"/>
          <w:szCs w:val="24"/>
        </w:rPr>
      </w:pPr>
    </w:p>
    <w:p w14:paraId="1F19B6D4">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274310" cy="2107565"/>
            <wp:effectExtent l="0" t="0" r="2540" b="6985"/>
            <wp:docPr id="8299596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959619"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2107565"/>
                    </a:xfrm>
                    <a:prstGeom prst="rect">
                      <a:avLst/>
                    </a:prstGeom>
                    <a:noFill/>
                    <a:ln>
                      <a:noFill/>
                    </a:ln>
                  </pic:spPr>
                </pic:pic>
              </a:graphicData>
            </a:graphic>
          </wp:inline>
        </w:drawing>
      </w:r>
    </w:p>
    <w:p w14:paraId="3887A088">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S9</w:t>
      </w:r>
      <w:r>
        <w:rPr>
          <w:rFonts w:hint="eastAsia" w:ascii="Times New Roman" w:hAnsi="Times New Roman" w:cs="Times New Roman"/>
          <w:color w:val="auto"/>
          <w:kern w:val="0"/>
          <w:sz w:val="24"/>
          <w:szCs w:val="24"/>
        </w:rPr>
        <w:t xml:space="preserve">. a) Normalized absorption spectra of D18 and D18 HS films </w:t>
      </w:r>
      <w:r>
        <w:rPr>
          <w:rFonts w:ascii="Times New Roman" w:hAnsi="Times New Roman" w:cs="Times New Roman"/>
          <w:color w:val="auto"/>
          <w:kern w:val="0"/>
          <w:sz w:val="24"/>
          <w:szCs w:val="24"/>
        </w:rPr>
        <w:t>wavelength</w:t>
      </w:r>
      <w:r>
        <w:rPr>
          <w:rFonts w:hint="eastAsia" w:ascii="Times New Roman" w:hAnsi="Times New Roman" w:cs="Times New Roman"/>
          <w:color w:val="auto"/>
          <w:kern w:val="0"/>
          <w:sz w:val="24"/>
          <w:szCs w:val="24"/>
        </w:rPr>
        <w:t xml:space="preserve"> ranging from 400 to 700nm. b) Normalized absorption spectra of D18 and D18 HS films </w:t>
      </w:r>
      <w:r>
        <w:rPr>
          <w:rFonts w:ascii="Times New Roman" w:hAnsi="Times New Roman" w:cs="Times New Roman"/>
          <w:color w:val="auto"/>
          <w:kern w:val="0"/>
          <w:sz w:val="24"/>
          <w:szCs w:val="24"/>
        </w:rPr>
        <w:t>wavelength</w:t>
      </w:r>
      <w:r>
        <w:rPr>
          <w:rFonts w:hint="eastAsia" w:ascii="Times New Roman" w:hAnsi="Times New Roman" w:cs="Times New Roman"/>
          <w:color w:val="auto"/>
          <w:kern w:val="0"/>
          <w:sz w:val="24"/>
          <w:szCs w:val="24"/>
        </w:rPr>
        <w:t xml:space="preserve"> ranging from 560 to 700nm.</w:t>
      </w:r>
    </w:p>
    <w:p w14:paraId="4626601E">
      <w:pPr>
        <w:autoSpaceDE w:val="0"/>
        <w:autoSpaceDN w:val="0"/>
        <w:adjustRightInd w:val="0"/>
        <w:spacing w:line="360" w:lineRule="auto"/>
        <w:jc w:val="center"/>
        <w:rPr>
          <w:rFonts w:ascii="Times New Roman" w:hAnsi="Times New Roman" w:cs="Times New Roman"/>
          <w:color w:val="auto"/>
          <w:kern w:val="0"/>
          <w:sz w:val="24"/>
          <w:szCs w:val="24"/>
        </w:rPr>
      </w:pPr>
    </w:p>
    <w:p w14:paraId="49422927">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4611370" cy="3711575"/>
            <wp:effectExtent l="0" t="0" r="0" b="3175"/>
            <wp:docPr id="780497167" name="图片 6"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97167" name="图片 6" descr="图表&#10;&#10;AI 生成的内容可能不正确。"/>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0" cy="3711575"/>
                    </a:xfrm>
                    <a:prstGeom prst="rect">
                      <a:avLst/>
                    </a:prstGeom>
                    <a:noFill/>
                    <a:ln>
                      <a:noFill/>
                    </a:ln>
                  </pic:spPr>
                </pic:pic>
              </a:graphicData>
            </a:graphic>
          </wp:inline>
        </w:drawing>
      </w:r>
    </w:p>
    <w:p w14:paraId="0A31973C">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S10</w:t>
      </w:r>
      <w:r>
        <w:rPr>
          <w:rFonts w:hint="eastAsia" w:ascii="Times New Roman" w:hAnsi="Times New Roman" w:cs="Times New Roman"/>
          <w:color w:val="auto"/>
          <w:kern w:val="0"/>
          <w:sz w:val="24"/>
          <w:szCs w:val="24"/>
        </w:rPr>
        <w:t xml:space="preserve">. a,b) Absorption spectra at representative times of D18/eC9 and D18 HS/eC9 film </w:t>
      </w:r>
      <w:r>
        <w:rPr>
          <w:rFonts w:ascii="Times New Roman" w:hAnsi="Times New Roman" w:cs="Times New Roman"/>
          <w:color w:val="auto"/>
          <w:kern w:val="0"/>
          <w:sz w:val="24"/>
          <w:szCs w:val="24"/>
        </w:rPr>
        <w:t xml:space="preserve">during </w:t>
      </w:r>
      <w:r>
        <w:rPr>
          <w:rFonts w:hint="eastAsia" w:ascii="Times New Roman" w:hAnsi="Times New Roman" w:cs="Times New Roman"/>
          <w:color w:val="auto"/>
          <w:kern w:val="0"/>
          <w:sz w:val="24"/>
          <w:szCs w:val="24"/>
        </w:rPr>
        <w:t xml:space="preserve">eC9 solution </w:t>
      </w:r>
      <w:r>
        <w:rPr>
          <w:rFonts w:ascii="Times New Roman" w:hAnsi="Times New Roman" w:cs="Times New Roman"/>
          <w:color w:val="auto"/>
          <w:kern w:val="0"/>
          <w:sz w:val="24"/>
          <w:szCs w:val="24"/>
        </w:rPr>
        <w:t xml:space="preserve">spin-coating process. c) </w:t>
      </w:r>
      <w:r>
        <w:rPr>
          <w:rFonts w:ascii="Times New Roman" w:hAnsi="Times New Roman" w:cs="Times New Roman"/>
          <w:i/>
          <w:iCs/>
          <w:color w:val="auto"/>
          <w:kern w:val="0"/>
          <w:sz w:val="24"/>
          <w:szCs w:val="24"/>
        </w:rPr>
        <w:t>In situ</w:t>
      </w:r>
      <w:r>
        <w:rPr>
          <w:rFonts w:ascii="Times New Roman" w:hAnsi="Times New Roman" w:cs="Times New Roman"/>
          <w:color w:val="auto"/>
          <w:kern w:val="0"/>
          <w:sz w:val="24"/>
          <w:szCs w:val="24"/>
        </w:rPr>
        <w:t xml:space="preserve"> 2D absorption spectroscopy </w:t>
      </w:r>
      <w:r>
        <w:rPr>
          <w:rFonts w:hint="eastAsia" w:ascii="Times New Roman" w:hAnsi="Times New Roman" w:cs="Times New Roman"/>
          <w:color w:val="auto"/>
          <w:kern w:val="0"/>
          <w:sz w:val="24"/>
          <w:szCs w:val="24"/>
        </w:rPr>
        <w:t>and d</w:t>
      </w:r>
      <w:r>
        <w:rPr>
          <w:rFonts w:ascii="Times New Roman" w:hAnsi="Times New Roman" w:cs="Times New Roman"/>
          <w:color w:val="auto"/>
          <w:kern w:val="0"/>
          <w:sz w:val="24"/>
          <w:szCs w:val="24"/>
        </w:rPr>
        <w:t>)</w:t>
      </w:r>
      <w:r>
        <w:rPr>
          <w:rFonts w:hint="eastAsia" w:ascii="Times New Roman" w:hAnsi="Times New Roman" w:cs="Times New Roman"/>
          <w:color w:val="auto"/>
          <w:kern w:val="0"/>
          <w:sz w:val="24"/>
          <w:szCs w:val="24"/>
        </w:rPr>
        <w:t xml:space="preserve"> corresponding absorption spectra at representative times </w:t>
      </w:r>
      <w:r>
        <w:rPr>
          <w:rFonts w:ascii="Times New Roman" w:hAnsi="Times New Roman" w:cs="Times New Roman"/>
          <w:color w:val="auto"/>
          <w:kern w:val="0"/>
          <w:sz w:val="24"/>
          <w:szCs w:val="24"/>
        </w:rPr>
        <w:t>monitoring the formation of D18</w:t>
      </w:r>
      <w:r>
        <w:rPr>
          <w:rFonts w:hint="eastAsia" w:ascii="Times New Roman" w:hAnsi="Times New Roman" w:cs="Times New Roman"/>
          <w:color w:val="auto"/>
          <w:kern w:val="0"/>
          <w:sz w:val="24"/>
          <w:szCs w:val="24"/>
        </w:rPr>
        <w:t>/eC9</w:t>
      </w:r>
      <w:r>
        <w:rPr>
          <w:rFonts w:ascii="Times New Roman" w:hAnsi="Times New Roman" w:cs="Times New Roman"/>
          <w:color w:val="auto"/>
          <w:kern w:val="0"/>
          <w:sz w:val="24"/>
          <w:szCs w:val="24"/>
        </w:rPr>
        <w:t xml:space="preserve"> films during </w:t>
      </w:r>
      <w:r>
        <w:rPr>
          <w:rFonts w:hint="eastAsia" w:ascii="Times New Roman" w:hAnsi="Times New Roman" w:cs="Times New Roman"/>
          <w:color w:val="auto"/>
          <w:kern w:val="0"/>
          <w:sz w:val="24"/>
          <w:szCs w:val="24"/>
        </w:rPr>
        <w:t xml:space="preserve">eC9 solution </w:t>
      </w:r>
      <w:r>
        <w:rPr>
          <w:rFonts w:ascii="Times New Roman" w:hAnsi="Times New Roman" w:cs="Times New Roman"/>
          <w:color w:val="auto"/>
          <w:kern w:val="0"/>
          <w:sz w:val="24"/>
          <w:szCs w:val="24"/>
        </w:rPr>
        <w:t>spin-coating</w:t>
      </w:r>
      <w:r>
        <w:rPr>
          <w:rFonts w:hint="eastAsia" w:ascii="Times New Roman" w:hAnsi="Times New Roman" w:cs="Times New Roman"/>
          <w:color w:val="auto"/>
          <w:kern w:val="0"/>
          <w:sz w:val="24"/>
          <w:szCs w:val="24"/>
        </w:rPr>
        <w:t xml:space="preserve"> process</w:t>
      </w:r>
      <w:r>
        <w:rPr>
          <w:rFonts w:ascii="Times New Roman" w:hAnsi="Times New Roman" w:cs="Times New Roman"/>
          <w:color w:val="auto"/>
          <w:kern w:val="0"/>
          <w:sz w:val="24"/>
          <w:szCs w:val="24"/>
        </w:rPr>
        <w:t>, herein, D18 solution was preheat under 80℃</w:t>
      </w:r>
      <w:r>
        <w:rPr>
          <w:rFonts w:hint="eastAsia" w:ascii="Times New Roman" w:hAnsi="Times New Roman" w:cs="Times New Roman"/>
          <w:color w:val="auto"/>
          <w:kern w:val="0"/>
          <w:sz w:val="24"/>
          <w:szCs w:val="24"/>
        </w:rPr>
        <w:t>.</w:t>
      </w:r>
    </w:p>
    <w:p w14:paraId="2B839903">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3579495" cy="1765300"/>
            <wp:effectExtent l="0" t="0" r="1905" b="6350"/>
            <wp:docPr id="1098384486" name="图片 5"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84486" name="图片 5" descr="图表, 条形图&#10;&#10;AI 生成的内容可能不正确。"/>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79495" cy="1765300"/>
                    </a:xfrm>
                    <a:prstGeom prst="rect">
                      <a:avLst/>
                    </a:prstGeom>
                    <a:noFill/>
                    <a:ln>
                      <a:noFill/>
                    </a:ln>
                  </pic:spPr>
                </pic:pic>
              </a:graphicData>
            </a:graphic>
          </wp:inline>
        </w:drawing>
      </w:r>
    </w:p>
    <w:p w14:paraId="7291D51D">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S11</w:t>
      </w:r>
      <w:r>
        <w:rPr>
          <w:rFonts w:hint="eastAsia" w:ascii="Times New Roman" w:hAnsi="Times New Roman" w:cs="Times New Roman"/>
          <w:color w:val="auto"/>
          <w:kern w:val="0"/>
          <w:sz w:val="24"/>
          <w:szCs w:val="24"/>
        </w:rPr>
        <w:t xml:space="preserve">. Statistics of D18 secondary nucleation kinetics characteristic time and eC9 nucleation characteristic time based on the </w:t>
      </w:r>
      <w:r>
        <w:rPr>
          <w:rFonts w:hint="eastAsia" w:ascii="Times New Roman" w:hAnsi="Times New Roman" w:cs="Times New Roman"/>
          <w:i/>
          <w:iCs/>
          <w:color w:val="auto"/>
          <w:kern w:val="0"/>
          <w:sz w:val="24"/>
          <w:szCs w:val="24"/>
        </w:rPr>
        <w:t>in-situ absorption</w:t>
      </w:r>
      <w:r>
        <w:rPr>
          <w:rFonts w:hint="eastAsia" w:ascii="Times New Roman" w:hAnsi="Times New Roman" w:cs="Times New Roman"/>
          <w:color w:val="auto"/>
          <w:kern w:val="0"/>
          <w:sz w:val="24"/>
          <w:szCs w:val="24"/>
        </w:rPr>
        <w:t xml:space="preserve"> of SqP films during later acceptor solution spin-coating process.</w:t>
      </w:r>
    </w:p>
    <w:p w14:paraId="5FA9AF3F">
      <w:pPr>
        <w:autoSpaceDE w:val="0"/>
        <w:autoSpaceDN w:val="0"/>
        <w:adjustRightInd w:val="0"/>
        <w:spacing w:line="360" w:lineRule="auto"/>
        <w:rPr>
          <w:rFonts w:ascii="Times New Roman" w:hAnsi="Times New Roman" w:cs="Times New Roman"/>
          <w:color w:val="auto"/>
          <w:kern w:val="0"/>
          <w:sz w:val="24"/>
          <w:szCs w:val="24"/>
        </w:rPr>
      </w:pPr>
    </w:p>
    <w:p w14:paraId="0BB4EB84">
      <w:pPr>
        <w:autoSpaceDE w:val="0"/>
        <w:autoSpaceDN w:val="0"/>
        <w:adjustRightInd w:val="0"/>
        <w:spacing w:line="360" w:lineRule="auto"/>
        <w:rPr>
          <w:rFonts w:ascii="Times New Roman" w:hAnsi="Times New Roman" w:cs="Times New Roman"/>
          <w:color w:val="auto"/>
          <w:kern w:val="0"/>
          <w:sz w:val="24"/>
          <w:szCs w:val="24"/>
        </w:rPr>
      </w:pPr>
    </w:p>
    <w:p w14:paraId="36BBE272">
      <w:pPr>
        <w:autoSpaceDE w:val="0"/>
        <w:autoSpaceDN w:val="0"/>
        <w:adjustRightInd w:val="0"/>
        <w:spacing w:line="360" w:lineRule="auto"/>
        <w:jc w:val="center"/>
        <w:rPr>
          <w:rFonts w:ascii="Times New Roman" w:hAnsi="Times New Roman" w:cs="Times New Roman"/>
          <w:color w:val="auto"/>
          <w:kern w:val="0"/>
          <w:sz w:val="24"/>
          <w:szCs w:val="24"/>
        </w:rPr>
      </w:pPr>
      <w:r>
        <w:rPr>
          <w:rFonts w:hint="eastAsia" w:ascii="Times New Roman" w:hAnsi="Times New Roman" w:cs="Times New Roman"/>
          <w:color w:val="auto"/>
          <w:kern w:val="0"/>
          <w:sz w:val="24"/>
          <w:szCs w:val="24"/>
        </w:rPr>
        <w:drawing>
          <wp:inline distT="0" distB="0" distL="114300" distR="114300">
            <wp:extent cx="4932045" cy="3706495"/>
            <wp:effectExtent l="0" t="0" r="8255" b="1905"/>
            <wp:docPr id="6" name="图片 6" descr="175317382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53173821986"/>
                    <pic:cNvPicPr>
                      <a:picLocks noChangeAspect="1"/>
                    </pic:cNvPicPr>
                  </pic:nvPicPr>
                  <pic:blipFill>
                    <a:blip r:embed="rId15"/>
                    <a:stretch>
                      <a:fillRect/>
                    </a:stretch>
                  </pic:blipFill>
                  <pic:spPr>
                    <a:xfrm>
                      <a:off x="0" y="0"/>
                      <a:ext cx="4932045" cy="3706495"/>
                    </a:xfrm>
                    <a:prstGeom prst="rect">
                      <a:avLst/>
                    </a:prstGeom>
                  </pic:spPr>
                </pic:pic>
              </a:graphicData>
            </a:graphic>
          </wp:inline>
        </w:drawing>
      </w:r>
    </w:p>
    <w:p w14:paraId="60EB11CB">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S12</w:t>
      </w:r>
      <w:r>
        <w:rPr>
          <w:rFonts w:hint="eastAsia" w:ascii="Times New Roman" w:hAnsi="Times New Roman" w:cs="Times New Roman"/>
          <w:color w:val="auto"/>
          <w:kern w:val="0"/>
          <w:sz w:val="24"/>
          <w:szCs w:val="24"/>
        </w:rPr>
        <w:t>. AFM height images and phase images of the D18 and D18 HS film.</w:t>
      </w:r>
    </w:p>
    <w:p w14:paraId="3516858B">
      <w:pPr>
        <w:autoSpaceDE w:val="0"/>
        <w:autoSpaceDN w:val="0"/>
        <w:adjustRightInd w:val="0"/>
        <w:spacing w:line="360" w:lineRule="auto"/>
        <w:rPr>
          <w:rFonts w:ascii="Times New Roman" w:hAnsi="Times New Roman" w:cs="Times New Roman"/>
          <w:color w:val="auto"/>
          <w:kern w:val="0"/>
          <w:sz w:val="24"/>
          <w:szCs w:val="24"/>
        </w:rPr>
      </w:pPr>
    </w:p>
    <w:p w14:paraId="3C0DF572">
      <w:pPr>
        <w:autoSpaceDE w:val="0"/>
        <w:autoSpaceDN w:val="0"/>
        <w:adjustRightInd w:val="0"/>
        <w:spacing w:line="360" w:lineRule="auto"/>
        <w:jc w:val="center"/>
        <w:rPr>
          <w:rFonts w:ascii="Times New Roman" w:hAnsi="Times New Roman" w:cs="Times New Roman"/>
          <w:color w:val="auto"/>
          <w:kern w:val="0"/>
          <w:sz w:val="24"/>
          <w:szCs w:val="24"/>
        </w:rPr>
      </w:pPr>
      <w:r>
        <w:rPr>
          <w:rFonts w:hint="eastAsia" w:ascii="Times New Roman" w:hAnsi="Times New Roman" w:cs="Times New Roman"/>
          <w:color w:val="auto"/>
          <w:kern w:val="0"/>
          <w:sz w:val="24"/>
          <w:szCs w:val="24"/>
        </w:rPr>
        <w:drawing>
          <wp:inline distT="0" distB="0" distL="114300" distR="114300">
            <wp:extent cx="4751705" cy="1821815"/>
            <wp:effectExtent l="0" t="0" r="10795" b="6985"/>
            <wp:docPr id="5" name="图片 5" descr="175317358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53173584052"/>
                    <pic:cNvPicPr>
                      <a:picLocks noChangeAspect="1"/>
                    </pic:cNvPicPr>
                  </pic:nvPicPr>
                  <pic:blipFill>
                    <a:blip r:embed="rId16"/>
                    <a:stretch>
                      <a:fillRect/>
                    </a:stretch>
                  </pic:blipFill>
                  <pic:spPr>
                    <a:xfrm>
                      <a:off x="0" y="0"/>
                      <a:ext cx="4751705" cy="1821815"/>
                    </a:xfrm>
                    <a:prstGeom prst="rect">
                      <a:avLst/>
                    </a:prstGeom>
                  </pic:spPr>
                </pic:pic>
              </a:graphicData>
            </a:graphic>
          </wp:inline>
        </w:drawing>
      </w:r>
    </w:p>
    <w:p w14:paraId="7E8DE8FB">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S13</w:t>
      </w:r>
      <w:r>
        <w:rPr>
          <w:rFonts w:hint="eastAsia" w:ascii="Times New Roman" w:hAnsi="Times New Roman" w:cs="Times New Roman"/>
          <w:color w:val="auto"/>
          <w:kern w:val="0"/>
          <w:sz w:val="24"/>
          <w:szCs w:val="24"/>
        </w:rPr>
        <w:t>. High resolution TEM images of the D18 and D18 HS films.</w:t>
      </w:r>
    </w:p>
    <w:p w14:paraId="252FEBD5">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drawing>
          <wp:inline distT="0" distB="0" distL="114300" distR="114300">
            <wp:extent cx="5111750" cy="3914140"/>
            <wp:effectExtent l="0" t="0" r="6350" b="10160"/>
            <wp:docPr id="8" name="图片 8" descr="175317430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53174301267"/>
                    <pic:cNvPicPr>
                      <a:picLocks noChangeAspect="1"/>
                    </pic:cNvPicPr>
                  </pic:nvPicPr>
                  <pic:blipFill>
                    <a:blip r:embed="rId17"/>
                    <a:stretch>
                      <a:fillRect/>
                    </a:stretch>
                  </pic:blipFill>
                  <pic:spPr>
                    <a:xfrm>
                      <a:off x="0" y="0"/>
                      <a:ext cx="5111750" cy="3914140"/>
                    </a:xfrm>
                    <a:prstGeom prst="rect">
                      <a:avLst/>
                    </a:prstGeom>
                  </pic:spPr>
                </pic:pic>
              </a:graphicData>
            </a:graphic>
          </wp:inline>
        </w:drawing>
      </w:r>
    </w:p>
    <w:p w14:paraId="3A770D97">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S14</w:t>
      </w:r>
      <w:r>
        <w:rPr>
          <w:rFonts w:hint="eastAsia" w:ascii="Times New Roman" w:hAnsi="Times New Roman" w:cs="Times New Roman"/>
          <w:color w:val="auto"/>
          <w:kern w:val="0"/>
          <w:sz w:val="24"/>
          <w:szCs w:val="24"/>
        </w:rPr>
        <w:t>. AFM height images and phase images of the D18 and D18 HS film after CF washing.</w:t>
      </w:r>
    </w:p>
    <w:p w14:paraId="04513113">
      <w:pPr>
        <w:autoSpaceDE w:val="0"/>
        <w:autoSpaceDN w:val="0"/>
        <w:adjustRightInd w:val="0"/>
        <w:spacing w:line="360" w:lineRule="auto"/>
        <w:jc w:val="center"/>
        <w:rPr>
          <w:rFonts w:ascii="Times New Roman" w:hAnsi="Times New Roman" w:cs="Times New Roman"/>
          <w:color w:val="auto"/>
          <w:kern w:val="0"/>
          <w:sz w:val="24"/>
          <w:szCs w:val="24"/>
        </w:rPr>
      </w:pPr>
    </w:p>
    <w:p w14:paraId="39D469DD">
      <w:pPr>
        <w:autoSpaceDE w:val="0"/>
        <w:autoSpaceDN w:val="0"/>
        <w:adjustRightInd w:val="0"/>
        <w:spacing w:line="360" w:lineRule="auto"/>
        <w:rPr>
          <w:rFonts w:ascii="Times New Roman" w:hAnsi="Times New Roman" w:cs="Times New Roman"/>
          <w:color w:val="auto"/>
          <w:kern w:val="0"/>
          <w:sz w:val="24"/>
          <w:szCs w:val="24"/>
        </w:rPr>
      </w:pPr>
    </w:p>
    <w:p w14:paraId="24EE1376">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274310" cy="2122805"/>
            <wp:effectExtent l="0" t="0" r="2540" b="0"/>
            <wp:docPr id="1144263874" name="图片 6"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263874" name="图片 6" descr="图表, 直方图&#10;&#10;AI 生成的内容可能不正确。"/>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4310" cy="2122805"/>
                    </a:xfrm>
                    <a:prstGeom prst="rect">
                      <a:avLst/>
                    </a:prstGeom>
                    <a:noFill/>
                    <a:ln>
                      <a:noFill/>
                    </a:ln>
                  </pic:spPr>
                </pic:pic>
              </a:graphicData>
            </a:graphic>
          </wp:inline>
        </w:drawing>
      </w:r>
    </w:p>
    <w:p w14:paraId="5C6D56FA">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S15</w:t>
      </w:r>
      <w:r>
        <w:rPr>
          <w:rFonts w:hint="eastAsia" w:ascii="Times New Roman" w:hAnsi="Times New Roman" w:cs="Times New Roman"/>
          <w:color w:val="auto"/>
          <w:kern w:val="0"/>
          <w:sz w:val="24"/>
          <w:szCs w:val="24"/>
        </w:rPr>
        <w:t>. a) Absorption spectra of films before and after CF washed. a) D18/eC9 and D18 HS/eC9. b) D18, D18 HS hot-solution casted D18 films. Herein, the data is measured using UV absorption spectrometer.</w:t>
      </w:r>
    </w:p>
    <w:p w14:paraId="69AEAF1A">
      <w:pPr>
        <w:autoSpaceDE w:val="0"/>
        <w:autoSpaceDN w:val="0"/>
        <w:adjustRightInd w:val="0"/>
        <w:spacing w:line="360" w:lineRule="auto"/>
        <w:rPr>
          <w:rFonts w:ascii="Times New Roman" w:hAnsi="Times New Roman" w:cs="Times New Roman"/>
          <w:color w:val="auto"/>
          <w:kern w:val="0"/>
          <w:sz w:val="24"/>
          <w:szCs w:val="24"/>
        </w:rPr>
      </w:pPr>
    </w:p>
    <w:p w14:paraId="6D806311">
      <w:pPr>
        <w:autoSpaceDE w:val="0"/>
        <w:autoSpaceDN w:val="0"/>
        <w:adjustRightInd w:val="0"/>
        <w:spacing w:line="360" w:lineRule="auto"/>
        <w:rPr>
          <w:rFonts w:ascii="Times New Roman" w:hAnsi="Times New Roman" w:cs="Times New Roman"/>
          <w:color w:val="auto"/>
          <w:kern w:val="0"/>
          <w:sz w:val="24"/>
          <w:szCs w:val="24"/>
        </w:rPr>
      </w:pPr>
    </w:p>
    <w:p w14:paraId="71656F38">
      <w:pPr>
        <w:autoSpaceDE w:val="0"/>
        <w:autoSpaceDN w:val="0"/>
        <w:adjustRightInd w:val="0"/>
        <w:spacing w:line="360" w:lineRule="auto"/>
        <w:jc w:val="center"/>
        <w:rPr>
          <w:rFonts w:ascii="Times New Roman" w:hAnsi="Times New Roman" w:cs="Times New Roman"/>
          <w:color w:val="auto"/>
          <w:kern w:val="0"/>
          <w:sz w:val="24"/>
          <w:szCs w:val="24"/>
        </w:rPr>
      </w:pPr>
      <w:r>
        <w:rPr>
          <w:rFonts w:hint="eastAsia" w:ascii="Times New Roman" w:hAnsi="Times New Roman" w:cs="Times New Roman"/>
          <w:color w:val="auto"/>
          <w:kern w:val="0"/>
          <w:sz w:val="24"/>
          <w:szCs w:val="24"/>
        </w:rPr>
        <w:drawing>
          <wp:inline distT="0" distB="0" distL="114300" distR="114300">
            <wp:extent cx="5147945" cy="2221865"/>
            <wp:effectExtent l="0" t="0" r="8255" b="635"/>
            <wp:docPr id="9" name="图片 9" descr="1753174927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53174927849"/>
                    <pic:cNvPicPr>
                      <a:picLocks noChangeAspect="1"/>
                    </pic:cNvPicPr>
                  </pic:nvPicPr>
                  <pic:blipFill>
                    <a:blip r:embed="rId19"/>
                    <a:stretch>
                      <a:fillRect/>
                    </a:stretch>
                  </pic:blipFill>
                  <pic:spPr>
                    <a:xfrm>
                      <a:off x="0" y="0"/>
                      <a:ext cx="5147945" cy="2221865"/>
                    </a:xfrm>
                    <a:prstGeom prst="rect">
                      <a:avLst/>
                    </a:prstGeom>
                  </pic:spPr>
                </pic:pic>
              </a:graphicData>
            </a:graphic>
          </wp:inline>
        </w:drawing>
      </w:r>
    </w:p>
    <w:p w14:paraId="5B68B4D9">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S16</w:t>
      </w:r>
      <w:r>
        <w:rPr>
          <w:rFonts w:hint="eastAsia" w:ascii="Times New Roman" w:hAnsi="Times New Roman" w:cs="Times New Roman"/>
          <w:color w:val="auto"/>
          <w:kern w:val="0"/>
          <w:sz w:val="24"/>
          <w:szCs w:val="24"/>
        </w:rPr>
        <w:t>. GIWAXS line profiles of D18/eC9 and D18 HS/eC9 films across the IP and OOP directions.</w:t>
      </w:r>
    </w:p>
    <w:p w14:paraId="5AEECC43">
      <w:pPr>
        <w:autoSpaceDE w:val="0"/>
        <w:autoSpaceDN w:val="0"/>
        <w:adjustRightInd w:val="0"/>
        <w:spacing w:line="360" w:lineRule="auto"/>
        <w:jc w:val="center"/>
        <w:rPr>
          <w:rFonts w:ascii="Times New Roman" w:hAnsi="Times New Roman" w:cs="Times New Roman"/>
          <w:color w:val="auto"/>
          <w:kern w:val="0"/>
          <w:sz w:val="24"/>
          <w:szCs w:val="24"/>
        </w:rPr>
      </w:pPr>
    </w:p>
    <w:p w14:paraId="161F019B">
      <w:pPr>
        <w:autoSpaceDE w:val="0"/>
        <w:autoSpaceDN w:val="0"/>
        <w:adjustRightInd w:val="0"/>
        <w:spacing w:line="360" w:lineRule="auto"/>
        <w:rPr>
          <w:rFonts w:ascii="Times New Roman" w:hAnsi="Times New Roman" w:cs="Times New Roman"/>
          <w:color w:val="auto"/>
          <w:kern w:val="0"/>
          <w:sz w:val="24"/>
          <w:szCs w:val="24"/>
        </w:rPr>
      </w:pPr>
    </w:p>
    <w:p w14:paraId="3E8D53ED">
      <w:pPr>
        <w:spacing w:line="480" w:lineRule="auto"/>
        <w:rPr>
          <w:rFonts w:ascii="Times New Roman" w:hAnsi="Times New Roman" w:cs="Times New Roman"/>
          <w:color w:val="auto"/>
          <w:sz w:val="24"/>
          <w:szCs w:val="24"/>
        </w:rPr>
      </w:pPr>
      <w:r>
        <w:rPr>
          <w:rFonts w:ascii="Times New Roman" w:hAnsi="Times New Roman" w:cs="Times New Roman"/>
          <w:b/>
          <w:bCs/>
          <w:color w:val="auto"/>
          <w:sz w:val="24"/>
          <w:szCs w:val="24"/>
        </w:rPr>
        <w:t>Table S</w:t>
      </w:r>
      <w:r>
        <w:rPr>
          <w:rFonts w:hint="eastAsia" w:ascii="Times New Roman" w:hAnsi="Times New Roman" w:cs="Times New Roman"/>
          <w:b/>
          <w:bCs/>
          <w:color w:val="auto"/>
          <w:sz w:val="24"/>
          <w:szCs w:val="24"/>
        </w:rPr>
        <w:t>2</w:t>
      </w:r>
      <w:r>
        <w:rPr>
          <w:rFonts w:ascii="Times New Roman" w:hAnsi="Times New Roman" w:cs="Times New Roman"/>
          <w:b/>
          <w:bCs/>
          <w:color w:val="auto"/>
          <w:sz w:val="24"/>
          <w:szCs w:val="24"/>
        </w:rPr>
        <w:t>.</w:t>
      </w:r>
      <w:r>
        <w:rPr>
          <w:rFonts w:ascii="Times New Roman" w:hAnsi="Times New Roman" w:cs="Times New Roman"/>
          <w:color w:val="auto"/>
          <w:sz w:val="24"/>
          <w:szCs w:val="24"/>
        </w:rPr>
        <w:t xml:space="preserve"> GIWAXS peak information </w:t>
      </w:r>
      <w:r>
        <w:rPr>
          <w:rFonts w:hint="eastAsia" w:ascii="Times New Roman" w:hAnsi="Times New Roman" w:cs="Times New Roman"/>
          <w:color w:val="auto"/>
          <w:sz w:val="24"/>
          <w:szCs w:val="24"/>
        </w:rPr>
        <w:t xml:space="preserve">of </w:t>
      </w:r>
      <w:r>
        <w:rPr>
          <w:rFonts w:ascii="Times New Roman" w:hAnsi="Times New Roman" w:cs="Times New Roman"/>
          <w:color w:val="auto"/>
          <w:sz w:val="24"/>
          <w:szCs w:val="24"/>
        </w:rPr>
        <w:t>out-of-plane (010)</w:t>
      </w:r>
      <w:r>
        <w:rPr>
          <w:rFonts w:hint="eastAsia" w:ascii="Times New Roman" w:hAnsi="Times New Roman" w:cs="Times New Roman"/>
          <w:color w:val="auto"/>
          <w:sz w:val="24"/>
          <w:szCs w:val="24"/>
        </w:rPr>
        <w:t xml:space="preserve"> and in plane (100)</w:t>
      </w:r>
      <w:r>
        <w:rPr>
          <w:rFonts w:ascii="Times New Roman" w:hAnsi="Times New Roman" w:cs="Times New Roman"/>
          <w:color w:val="auto"/>
          <w:sz w:val="24"/>
          <w:szCs w:val="24"/>
        </w:rPr>
        <w:t xml:space="preserve"> of </w:t>
      </w:r>
      <w:r>
        <w:rPr>
          <w:rFonts w:hint="eastAsia" w:ascii="Times New Roman" w:hAnsi="Times New Roman" w:cs="Times New Roman"/>
          <w:color w:val="auto"/>
          <w:sz w:val="24"/>
          <w:szCs w:val="24"/>
        </w:rPr>
        <w:t>SqP films</w:t>
      </w:r>
      <w:r>
        <w:rPr>
          <w:rFonts w:ascii="Times New Roman" w:hAnsi="Times New Roman" w:cs="Times New Roman"/>
          <w:color w:val="auto"/>
          <w:sz w:val="24"/>
          <w:szCs w:val="24"/>
        </w:rPr>
        <w:t>.</w:t>
      </w:r>
    </w:p>
    <w:tbl>
      <w:tblPr>
        <w:tblStyle w:val="9"/>
        <w:tblW w:w="8302" w:type="dxa"/>
        <w:tblInd w:w="0" w:type="dxa"/>
        <w:tblLayout w:type="autofit"/>
        <w:tblCellMar>
          <w:top w:w="0" w:type="dxa"/>
          <w:left w:w="0" w:type="dxa"/>
          <w:bottom w:w="0" w:type="dxa"/>
          <w:right w:w="0" w:type="dxa"/>
        </w:tblCellMar>
      </w:tblPr>
      <w:tblGrid>
        <w:gridCol w:w="1605"/>
        <w:gridCol w:w="1123"/>
        <w:gridCol w:w="1285"/>
        <w:gridCol w:w="1585"/>
        <w:gridCol w:w="1490"/>
        <w:gridCol w:w="1214"/>
      </w:tblGrid>
      <w:tr w14:paraId="7093BF83">
        <w:tblPrEx>
          <w:tblCellMar>
            <w:top w:w="0" w:type="dxa"/>
            <w:left w:w="0" w:type="dxa"/>
            <w:bottom w:w="0" w:type="dxa"/>
            <w:right w:w="0" w:type="dxa"/>
          </w:tblCellMar>
        </w:tblPrEx>
        <w:trPr>
          <w:trHeight w:val="471" w:hRule="atLeast"/>
        </w:trPr>
        <w:tc>
          <w:tcPr>
            <w:tcW w:w="1605" w:type="dxa"/>
            <w:tcBorders>
              <w:top w:val="single" w:color="000000" w:sz="8" w:space="0"/>
              <w:left w:val="nil"/>
              <w:bottom w:val="single" w:color="000000" w:sz="8" w:space="0"/>
              <w:right w:val="nil"/>
            </w:tcBorders>
            <w:tcMar>
              <w:top w:w="15" w:type="dxa"/>
              <w:left w:w="108" w:type="dxa"/>
              <w:bottom w:w="0" w:type="dxa"/>
              <w:right w:w="108" w:type="dxa"/>
            </w:tcMar>
            <w:vAlign w:val="center"/>
          </w:tcPr>
          <w:p w14:paraId="4ED982EA">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Sample</w:t>
            </w:r>
          </w:p>
        </w:tc>
        <w:tc>
          <w:tcPr>
            <w:tcW w:w="1123" w:type="dxa"/>
            <w:tcBorders>
              <w:top w:val="single" w:color="000000" w:sz="8" w:space="0"/>
              <w:left w:val="nil"/>
              <w:bottom w:val="single" w:color="000000" w:sz="8" w:space="0"/>
              <w:right w:val="nil"/>
            </w:tcBorders>
            <w:tcMar>
              <w:top w:w="15" w:type="dxa"/>
              <w:left w:w="108" w:type="dxa"/>
              <w:bottom w:w="0" w:type="dxa"/>
              <w:right w:w="108" w:type="dxa"/>
            </w:tcMar>
            <w:vAlign w:val="center"/>
          </w:tcPr>
          <w:p w14:paraId="0980205B">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Direction</w:t>
            </w:r>
          </w:p>
        </w:tc>
        <w:tc>
          <w:tcPr>
            <w:tcW w:w="1285" w:type="dxa"/>
            <w:tcBorders>
              <w:top w:val="single" w:color="000000" w:sz="8" w:space="0"/>
              <w:left w:val="nil"/>
              <w:bottom w:val="single" w:color="000000" w:sz="8" w:space="0"/>
              <w:right w:val="nil"/>
            </w:tcBorders>
            <w:tcMar>
              <w:top w:w="15" w:type="dxa"/>
              <w:left w:w="108" w:type="dxa"/>
              <w:bottom w:w="0" w:type="dxa"/>
              <w:right w:w="108" w:type="dxa"/>
            </w:tcMar>
            <w:vAlign w:val="center"/>
          </w:tcPr>
          <w:p w14:paraId="1365F244">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i/>
                <w:iCs/>
                <w:color w:val="auto"/>
                <w:kern w:val="0"/>
                <w:sz w:val="24"/>
                <w:szCs w:val="24"/>
              </w:rPr>
              <w:t>q</w:t>
            </w:r>
            <w:r>
              <w:rPr>
                <w:rFonts w:ascii="Times New Roman" w:hAnsi="Times New Roman" w:cs="Times New Roman"/>
                <w:color w:val="auto"/>
                <w:kern w:val="0"/>
                <w:sz w:val="24"/>
                <w:szCs w:val="24"/>
              </w:rPr>
              <w:t xml:space="preserve"> (Å</w:t>
            </w:r>
            <w:r>
              <w:rPr>
                <w:rFonts w:ascii="Times New Roman" w:hAnsi="Times New Roman" w:cs="Times New Roman"/>
                <w:color w:val="auto"/>
                <w:kern w:val="0"/>
                <w:sz w:val="24"/>
                <w:szCs w:val="24"/>
                <w:vertAlign w:val="superscript"/>
              </w:rPr>
              <w:t>-1</w:t>
            </w:r>
            <w:r>
              <w:rPr>
                <w:rFonts w:ascii="Times New Roman" w:hAnsi="Times New Roman" w:cs="Times New Roman"/>
                <w:color w:val="auto"/>
                <w:kern w:val="0"/>
                <w:sz w:val="24"/>
                <w:szCs w:val="24"/>
              </w:rPr>
              <w:t>)</w:t>
            </w:r>
          </w:p>
        </w:tc>
        <w:tc>
          <w:tcPr>
            <w:tcW w:w="1585" w:type="dxa"/>
            <w:tcBorders>
              <w:top w:val="single" w:color="000000" w:sz="8" w:space="0"/>
              <w:left w:val="nil"/>
              <w:bottom w:val="single" w:color="000000" w:sz="8" w:space="0"/>
              <w:right w:val="nil"/>
            </w:tcBorders>
            <w:tcMar>
              <w:top w:w="15" w:type="dxa"/>
              <w:left w:w="108" w:type="dxa"/>
              <w:bottom w:w="0" w:type="dxa"/>
              <w:right w:w="108" w:type="dxa"/>
            </w:tcMar>
            <w:vAlign w:val="center"/>
          </w:tcPr>
          <w:p w14:paraId="490BDED0">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i/>
                <w:iCs/>
                <w:color w:val="auto"/>
                <w:kern w:val="0"/>
                <w:sz w:val="24"/>
                <w:szCs w:val="24"/>
              </w:rPr>
              <w:t>d</w:t>
            </w:r>
            <w:r>
              <w:rPr>
                <w:rFonts w:ascii="Times New Roman" w:hAnsi="Times New Roman" w:cs="Times New Roman"/>
                <w:color w:val="auto"/>
                <w:kern w:val="0"/>
                <w:sz w:val="24"/>
                <w:szCs w:val="24"/>
              </w:rPr>
              <w:t>-spacing (Å)</w:t>
            </w:r>
          </w:p>
        </w:tc>
        <w:tc>
          <w:tcPr>
            <w:tcW w:w="1490" w:type="dxa"/>
            <w:tcBorders>
              <w:top w:val="single" w:color="000000" w:sz="8" w:space="0"/>
              <w:left w:val="nil"/>
              <w:bottom w:val="single" w:color="000000" w:sz="8" w:space="0"/>
              <w:right w:val="nil"/>
            </w:tcBorders>
            <w:tcMar>
              <w:top w:w="15" w:type="dxa"/>
              <w:left w:w="108" w:type="dxa"/>
              <w:bottom w:w="0" w:type="dxa"/>
              <w:right w:w="108" w:type="dxa"/>
            </w:tcMar>
            <w:vAlign w:val="center"/>
          </w:tcPr>
          <w:p w14:paraId="676FAFAC">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FWHM (Å</w:t>
            </w:r>
            <w:r>
              <w:rPr>
                <w:rFonts w:ascii="Times New Roman" w:hAnsi="Times New Roman" w:cs="Times New Roman"/>
                <w:color w:val="auto"/>
                <w:kern w:val="0"/>
                <w:sz w:val="24"/>
                <w:szCs w:val="24"/>
                <w:vertAlign w:val="superscript"/>
              </w:rPr>
              <w:t>-1</w:t>
            </w:r>
            <w:r>
              <w:rPr>
                <w:rFonts w:ascii="Times New Roman" w:hAnsi="Times New Roman" w:cs="Times New Roman"/>
                <w:color w:val="auto"/>
                <w:kern w:val="0"/>
                <w:sz w:val="24"/>
                <w:szCs w:val="24"/>
              </w:rPr>
              <w:t>)</w:t>
            </w:r>
          </w:p>
        </w:tc>
        <w:tc>
          <w:tcPr>
            <w:tcW w:w="1214" w:type="dxa"/>
            <w:tcBorders>
              <w:top w:val="single" w:color="000000" w:sz="8" w:space="0"/>
              <w:left w:val="nil"/>
              <w:bottom w:val="single" w:color="000000" w:sz="8" w:space="0"/>
              <w:right w:val="nil"/>
            </w:tcBorders>
            <w:tcMar>
              <w:top w:w="15" w:type="dxa"/>
              <w:left w:w="108" w:type="dxa"/>
              <w:bottom w:w="0" w:type="dxa"/>
              <w:right w:w="108" w:type="dxa"/>
            </w:tcMar>
            <w:vAlign w:val="center"/>
          </w:tcPr>
          <w:p w14:paraId="42B338B8">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CCL (Å)</w:t>
            </w:r>
          </w:p>
        </w:tc>
      </w:tr>
      <w:tr w14:paraId="2211AF37">
        <w:tblPrEx>
          <w:tblCellMar>
            <w:top w:w="0" w:type="dxa"/>
            <w:left w:w="0" w:type="dxa"/>
            <w:bottom w:w="0" w:type="dxa"/>
            <w:right w:w="0" w:type="dxa"/>
          </w:tblCellMar>
        </w:tblPrEx>
        <w:trPr>
          <w:trHeight w:val="468" w:hRule="atLeast"/>
        </w:trPr>
        <w:tc>
          <w:tcPr>
            <w:tcW w:w="1605" w:type="dxa"/>
            <w:vMerge w:val="restart"/>
            <w:tcBorders>
              <w:top w:val="single" w:color="000000" w:sz="8" w:space="0"/>
              <w:left w:val="nil"/>
              <w:bottom w:val="nil"/>
              <w:right w:val="nil"/>
            </w:tcBorders>
            <w:tcMar>
              <w:top w:w="15" w:type="dxa"/>
              <w:left w:w="108" w:type="dxa"/>
              <w:bottom w:w="0" w:type="dxa"/>
              <w:right w:w="108" w:type="dxa"/>
            </w:tcMar>
            <w:vAlign w:val="center"/>
          </w:tcPr>
          <w:p w14:paraId="6F26E82B">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D18/eC9</w:t>
            </w:r>
          </w:p>
        </w:tc>
        <w:tc>
          <w:tcPr>
            <w:tcW w:w="1123" w:type="dxa"/>
            <w:tcBorders>
              <w:top w:val="single" w:color="000000" w:sz="8" w:space="0"/>
              <w:left w:val="nil"/>
              <w:bottom w:val="nil"/>
              <w:right w:val="nil"/>
            </w:tcBorders>
            <w:tcMar>
              <w:top w:w="15" w:type="dxa"/>
              <w:left w:w="108" w:type="dxa"/>
              <w:bottom w:w="0" w:type="dxa"/>
              <w:right w:w="108" w:type="dxa"/>
            </w:tcMar>
            <w:vAlign w:val="center"/>
          </w:tcPr>
          <w:p w14:paraId="42A5A2E5">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IP</w:t>
            </w:r>
          </w:p>
        </w:tc>
        <w:tc>
          <w:tcPr>
            <w:tcW w:w="1285" w:type="dxa"/>
            <w:tcBorders>
              <w:top w:val="single" w:color="000000" w:sz="8" w:space="0"/>
              <w:left w:val="nil"/>
              <w:bottom w:val="nil"/>
              <w:right w:val="nil"/>
            </w:tcBorders>
            <w:tcMar>
              <w:top w:w="15" w:type="dxa"/>
              <w:left w:w="108" w:type="dxa"/>
              <w:bottom w:w="0" w:type="dxa"/>
              <w:right w:w="108" w:type="dxa"/>
            </w:tcMar>
            <w:vAlign w:val="center"/>
          </w:tcPr>
          <w:p w14:paraId="67670CF9">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0.308</w:t>
            </w:r>
          </w:p>
        </w:tc>
        <w:tc>
          <w:tcPr>
            <w:tcW w:w="1585" w:type="dxa"/>
            <w:tcBorders>
              <w:top w:val="single" w:color="000000" w:sz="8" w:space="0"/>
              <w:left w:val="nil"/>
              <w:bottom w:val="nil"/>
              <w:right w:val="nil"/>
            </w:tcBorders>
            <w:tcMar>
              <w:top w:w="8" w:type="dxa"/>
              <w:left w:w="8" w:type="dxa"/>
              <w:bottom w:w="0" w:type="dxa"/>
              <w:right w:w="8" w:type="dxa"/>
            </w:tcMar>
            <w:vAlign w:val="center"/>
          </w:tcPr>
          <w:p w14:paraId="776987DE">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20.40</w:t>
            </w:r>
          </w:p>
        </w:tc>
        <w:tc>
          <w:tcPr>
            <w:tcW w:w="1490" w:type="dxa"/>
            <w:tcBorders>
              <w:top w:val="single" w:color="000000" w:sz="8" w:space="0"/>
              <w:left w:val="nil"/>
              <w:bottom w:val="nil"/>
              <w:right w:val="nil"/>
            </w:tcBorders>
            <w:tcMar>
              <w:top w:w="15" w:type="dxa"/>
              <w:left w:w="108" w:type="dxa"/>
              <w:bottom w:w="0" w:type="dxa"/>
              <w:right w:w="108" w:type="dxa"/>
            </w:tcMar>
            <w:vAlign w:val="center"/>
          </w:tcPr>
          <w:p w14:paraId="268E4091">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0.054</w:t>
            </w:r>
          </w:p>
        </w:tc>
        <w:tc>
          <w:tcPr>
            <w:tcW w:w="1214" w:type="dxa"/>
            <w:tcBorders>
              <w:top w:val="single" w:color="000000" w:sz="8" w:space="0"/>
              <w:left w:val="nil"/>
              <w:bottom w:val="nil"/>
              <w:right w:val="nil"/>
            </w:tcBorders>
            <w:tcMar>
              <w:top w:w="8" w:type="dxa"/>
              <w:left w:w="8" w:type="dxa"/>
              <w:bottom w:w="0" w:type="dxa"/>
              <w:right w:w="8" w:type="dxa"/>
            </w:tcMar>
            <w:vAlign w:val="bottom"/>
          </w:tcPr>
          <w:p w14:paraId="3A4FCA53">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104.72</w:t>
            </w:r>
          </w:p>
        </w:tc>
      </w:tr>
      <w:tr w14:paraId="656AC6F4">
        <w:tblPrEx>
          <w:tblCellMar>
            <w:top w:w="0" w:type="dxa"/>
            <w:left w:w="0" w:type="dxa"/>
            <w:bottom w:w="0" w:type="dxa"/>
            <w:right w:w="0" w:type="dxa"/>
          </w:tblCellMar>
        </w:tblPrEx>
        <w:trPr>
          <w:trHeight w:val="491" w:hRule="atLeast"/>
        </w:trPr>
        <w:tc>
          <w:tcPr>
            <w:tcW w:w="0" w:type="auto"/>
            <w:vMerge w:val="continue"/>
            <w:tcBorders>
              <w:top w:val="single" w:color="000000" w:sz="8" w:space="0"/>
              <w:left w:val="nil"/>
              <w:bottom w:val="nil"/>
              <w:right w:val="nil"/>
            </w:tcBorders>
            <w:vAlign w:val="center"/>
          </w:tcPr>
          <w:p w14:paraId="1B7B9B63">
            <w:pPr>
              <w:autoSpaceDE w:val="0"/>
              <w:autoSpaceDN w:val="0"/>
              <w:adjustRightInd w:val="0"/>
              <w:spacing w:line="360" w:lineRule="auto"/>
              <w:jc w:val="center"/>
              <w:rPr>
                <w:rFonts w:ascii="Times New Roman" w:hAnsi="Times New Roman" w:cs="Times New Roman"/>
                <w:color w:val="auto"/>
                <w:kern w:val="0"/>
                <w:sz w:val="24"/>
                <w:szCs w:val="24"/>
              </w:rPr>
            </w:pPr>
          </w:p>
        </w:tc>
        <w:tc>
          <w:tcPr>
            <w:tcW w:w="1123" w:type="dxa"/>
            <w:tcBorders>
              <w:top w:val="nil"/>
              <w:left w:val="nil"/>
              <w:bottom w:val="nil"/>
              <w:right w:val="nil"/>
            </w:tcBorders>
            <w:tcMar>
              <w:top w:w="15" w:type="dxa"/>
              <w:left w:w="108" w:type="dxa"/>
              <w:bottom w:w="0" w:type="dxa"/>
              <w:right w:w="108" w:type="dxa"/>
            </w:tcMar>
            <w:vAlign w:val="center"/>
          </w:tcPr>
          <w:p w14:paraId="7004E699">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OOP</w:t>
            </w:r>
          </w:p>
        </w:tc>
        <w:tc>
          <w:tcPr>
            <w:tcW w:w="1285" w:type="dxa"/>
            <w:tcBorders>
              <w:top w:val="nil"/>
              <w:left w:val="nil"/>
              <w:bottom w:val="nil"/>
              <w:right w:val="nil"/>
            </w:tcBorders>
            <w:tcMar>
              <w:top w:w="15" w:type="dxa"/>
              <w:left w:w="108" w:type="dxa"/>
              <w:bottom w:w="0" w:type="dxa"/>
              <w:right w:w="108" w:type="dxa"/>
            </w:tcMar>
            <w:vAlign w:val="center"/>
          </w:tcPr>
          <w:p w14:paraId="070F8049">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1.702</w:t>
            </w:r>
          </w:p>
        </w:tc>
        <w:tc>
          <w:tcPr>
            <w:tcW w:w="1585" w:type="dxa"/>
            <w:tcBorders>
              <w:top w:val="nil"/>
              <w:left w:val="nil"/>
              <w:bottom w:val="nil"/>
              <w:right w:val="nil"/>
            </w:tcBorders>
            <w:tcMar>
              <w:top w:w="8" w:type="dxa"/>
              <w:left w:w="8" w:type="dxa"/>
              <w:bottom w:w="0" w:type="dxa"/>
              <w:right w:w="8" w:type="dxa"/>
            </w:tcMar>
            <w:vAlign w:val="center"/>
          </w:tcPr>
          <w:p w14:paraId="78B91801">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3.69</w:t>
            </w:r>
          </w:p>
        </w:tc>
        <w:tc>
          <w:tcPr>
            <w:tcW w:w="1490" w:type="dxa"/>
            <w:tcBorders>
              <w:top w:val="nil"/>
              <w:left w:val="nil"/>
              <w:bottom w:val="nil"/>
              <w:right w:val="nil"/>
            </w:tcBorders>
            <w:tcMar>
              <w:top w:w="15" w:type="dxa"/>
              <w:left w:w="108" w:type="dxa"/>
              <w:bottom w:w="0" w:type="dxa"/>
              <w:right w:w="108" w:type="dxa"/>
            </w:tcMar>
            <w:vAlign w:val="center"/>
          </w:tcPr>
          <w:p w14:paraId="6FDAD400">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0.168</w:t>
            </w:r>
          </w:p>
        </w:tc>
        <w:tc>
          <w:tcPr>
            <w:tcW w:w="1214" w:type="dxa"/>
            <w:tcBorders>
              <w:top w:val="nil"/>
              <w:left w:val="nil"/>
              <w:bottom w:val="nil"/>
              <w:right w:val="nil"/>
            </w:tcBorders>
            <w:tcMar>
              <w:top w:w="8" w:type="dxa"/>
              <w:left w:w="8" w:type="dxa"/>
              <w:bottom w:w="0" w:type="dxa"/>
              <w:right w:w="8" w:type="dxa"/>
            </w:tcMar>
            <w:vAlign w:val="bottom"/>
          </w:tcPr>
          <w:p w14:paraId="3903E4BC">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33.66</w:t>
            </w:r>
          </w:p>
        </w:tc>
      </w:tr>
      <w:tr w14:paraId="0048EF66">
        <w:tblPrEx>
          <w:tblCellMar>
            <w:top w:w="0" w:type="dxa"/>
            <w:left w:w="0" w:type="dxa"/>
            <w:bottom w:w="0" w:type="dxa"/>
            <w:right w:w="0" w:type="dxa"/>
          </w:tblCellMar>
        </w:tblPrEx>
        <w:trPr>
          <w:trHeight w:val="491" w:hRule="atLeast"/>
        </w:trPr>
        <w:tc>
          <w:tcPr>
            <w:tcW w:w="1605" w:type="dxa"/>
            <w:vMerge w:val="restart"/>
            <w:tcBorders>
              <w:top w:val="nil"/>
              <w:left w:val="nil"/>
              <w:bottom w:val="single" w:color="000000" w:sz="12" w:space="0"/>
              <w:right w:val="nil"/>
            </w:tcBorders>
            <w:tcMar>
              <w:top w:w="15" w:type="dxa"/>
              <w:left w:w="108" w:type="dxa"/>
              <w:bottom w:w="0" w:type="dxa"/>
              <w:right w:w="108" w:type="dxa"/>
            </w:tcMar>
            <w:vAlign w:val="center"/>
          </w:tcPr>
          <w:p w14:paraId="4C5F637E">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D18 HS/eC9</w:t>
            </w:r>
          </w:p>
        </w:tc>
        <w:tc>
          <w:tcPr>
            <w:tcW w:w="1123" w:type="dxa"/>
            <w:tcBorders>
              <w:top w:val="nil"/>
              <w:left w:val="nil"/>
              <w:bottom w:val="nil"/>
              <w:right w:val="nil"/>
            </w:tcBorders>
            <w:tcMar>
              <w:top w:w="15" w:type="dxa"/>
              <w:left w:w="108" w:type="dxa"/>
              <w:bottom w:w="0" w:type="dxa"/>
              <w:right w:w="108" w:type="dxa"/>
            </w:tcMar>
            <w:vAlign w:val="center"/>
          </w:tcPr>
          <w:p w14:paraId="0278C559">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IP</w:t>
            </w:r>
          </w:p>
        </w:tc>
        <w:tc>
          <w:tcPr>
            <w:tcW w:w="1285" w:type="dxa"/>
            <w:tcBorders>
              <w:top w:val="nil"/>
              <w:left w:val="nil"/>
              <w:bottom w:val="nil"/>
              <w:right w:val="nil"/>
            </w:tcBorders>
            <w:tcMar>
              <w:top w:w="15" w:type="dxa"/>
              <w:left w:w="108" w:type="dxa"/>
              <w:bottom w:w="0" w:type="dxa"/>
              <w:right w:w="108" w:type="dxa"/>
            </w:tcMar>
            <w:vAlign w:val="center"/>
          </w:tcPr>
          <w:p w14:paraId="6E37A25F">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0.311</w:t>
            </w:r>
          </w:p>
        </w:tc>
        <w:tc>
          <w:tcPr>
            <w:tcW w:w="1585" w:type="dxa"/>
            <w:tcBorders>
              <w:top w:val="nil"/>
              <w:left w:val="nil"/>
              <w:bottom w:val="nil"/>
              <w:right w:val="nil"/>
            </w:tcBorders>
            <w:tcMar>
              <w:top w:w="8" w:type="dxa"/>
              <w:left w:w="8" w:type="dxa"/>
              <w:bottom w:w="0" w:type="dxa"/>
              <w:right w:w="8" w:type="dxa"/>
            </w:tcMar>
            <w:vAlign w:val="center"/>
          </w:tcPr>
          <w:p w14:paraId="675D1BCF">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20.20</w:t>
            </w:r>
          </w:p>
        </w:tc>
        <w:tc>
          <w:tcPr>
            <w:tcW w:w="1490" w:type="dxa"/>
            <w:tcBorders>
              <w:top w:val="nil"/>
              <w:left w:val="nil"/>
              <w:bottom w:val="nil"/>
              <w:right w:val="nil"/>
            </w:tcBorders>
            <w:tcMar>
              <w:top w:w="15" w:type="dxa"/>
              <w:left w:w="108" w:type="dxa"/>
              <w:bottom w:w="0" w:type="dxa"/>
              <w:right w:w="108" w:type="dxa"/>
            </w:tcMar>
            <w:vAlign w:val="center"/>
          </w:tcPr>
          <w:p w14:paraId="7A00CA5C">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0.053</w:t>
            </w:r>
          </w:p>
        </w:tc>
        <w:tc>
          <w:tcPr>
            <w:tcW w:w="1214" w:type="dxa"/>
            <w:tcBorders>
              <w:top w:val="nil"/>
              <w:left w:val="nil"/>
              <w:bottom w:val="nil"/>
              <w:right w:val="nil"/>
            </w:tcBorders>
            <w:tcMar>
              <w:top w:w="8" w:type="dxa"/>
              <w:left w:w="8" w:type="dxa"/>
              <w:bottom w:w="0" w:type="dxa"/>
              <w:right w:w="8" w:type="dxa"/>
            </w:tcMar>
            <w:vAlign w:val="bottom"/>
          </w:tcPr>
          <w:p w14:paraId="0B60166C">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106.70</w:t>
            </w:r>
          </w:p>
        </w:tc>
      </w:tr>
      <w:tr w14:paraId="0D497165">
        <w:tblPrEx>
          <w:tblCellMar>
            <w:top w:w="0" w:type="dxa"/>
            <w:left w:w="0" w:type="dxa"/>
            <w:bottom w:w="0" w:type="dxa"/>
            <w:right w:w="0" w:type="dxa"/>
          </w:tblCellMar>
        </w:tblPrEx>
        <w:trPr>
          <w:trHeight w:val="468" w:hRule="atLeast"/>
        </w:trPr>
        <w:tc>
          <w:tcPr>
            <w:tcW w:w="0" w:type="auto"/>
            <w:vMerge w:val="continue"/>
            <w:tcBorders>
              <w:top w:val="nil"/>
              <w:left w:val="nil"/>
              <w:bottom w:val="single" w:color="000000" w:sz="12" w:space="0"/>
              <w:right w:val="nil"/>
            </w:tcBorders>
            <w:vAlign w:val="center"/>
          </w:tcPr>
          <w:p w14:paraId="0914DE72">
            <w:pPr>
              <w:autoSpaceDE w:val="0"/>
              <w:autoSpaceDN w:val="0"/>
              <w:adjustRightInd w:val="0"/>
              <w:spacing w:line="360" w:lineRule="auto"/>
              <w:jc w:val="center"/>
              <w:rPr>
                <w:rFonts w:ascii="Times New Roman" w:hAnsi="Times New Roman" w:cs="Times New Roman"/>
                <w:color w:val="auto"/>
                <w:kern w:val="0"/>
                <w:sz w:val="24"/>
                <w:szCs w:val="24"/>
              </w:rPr>
            </w:pPr>
          </w:p>
        </w:tc>
        <w:tc>
          <w:tcPr>
            <w:tcW w:w="1123" w:type="dxa"/>
            <w:tcBorders>
              <w:top w:val="nil"/>
              <w:left w:val="nil"/>
              <w:bottom w:val="single" w:color="000000" w:sz="12" w:space="0"/>
              <w:right w:val="nil"/>
            </w:tcBorders>
            <w:tcMar>
              <w:top w:w="15" w:type="dxa"/>
              <w:left w:w="108" w:type="dxa"/>
              <w:bottom w:w="0" w:type="dxa"/>
              <w:right w:w="108" w:type="dxa"/>
            </w:tcMar>
            <w:vAlign w:val="center"/>
          </w:tcPr>
          <w:p w14:paraId="00A66C59">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OOP</w:t>
            </w:r>
          </w:p>
        </w:tc>
        <w:tc>
          <w:tcPr>
            <w:tcW w:w="1285" w:type="dxa"/>
            <w:tcBorders>
              <w:top w:val="nil"/>
              <w:left w:val="nil"/>
              <w:bottom w:val="single" w:color="000000" w:sz="12" w:space="0"/>
              <w:right w:val="nil"/>
            </w:tcBorders>
            <w:tcMar>
              <w:top w:w="15" w:type="dxa"/>
              <w:left w:w="108" w:type="dxa"/>
              <w:bottom w:w="0" w:type="dxa"/>
              <w:right w:w="108" w:type="dxa"/>
            </w:tcMar>
            <w:vAlign w:val="center"/>
          </w:tcPr>
          <w:p w14:paraId="0B974547">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1.715</w:t>
            </w:r>
          </w:p>
        </w:tc>
        <w:tc>
          <w:tcPr>
            <w:tcW w:w="1585" w:type="dxa"/>
            <w:tcBorders>
              <w:top w:val="nil"/>
              <w:left w:val="nil"/>
              <w:bottom w:val="single" w:color="000000" w:sz="12" w:space="0"/>
              <w:right w:val="nil"/>
            </w:tcBorders>
            <w:tcMar>
              <w:top w:w="8" w:type="dxa"/>
              <w:left w:w="8" w:type="dxa"/>
              <w:bottom w:w="0" w:type="dxa"/>
              <w:right w:w="8" w:type="dxa"/>
            </w:tcMar>
            <w:vAlign w:val="center"/>
          </w:tcPr>
          <w:p w14:paraId="45496CCB">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3.66</w:t>
            </w:r>
          </w:p>
        </w:tc>
        <w:tc>
          <w:tcPr>
            <w:tcW w:w="1490" w:type="dxa"/>
            <w:tcBorders>
              <w:top w:val="nil"/>
              <w:left w:val="nil"/>
              <w:bottom w:val="single" w:color="000000" w:sz="12" w:space="0"/>
              <w:right w:val="nil"/>
            </w:tcBorders>
            <w:tcMar>
              <w:top w:w="15" w:type="dxa"/>
              <w:left w:w="108" w:type="dxa"/>
              <w:bottom w:w="0" w:type="dxa"/>
              <w:right w:w="108" w:type="dxa"/>
            </w:tcMar>
            <w:vAlign w:val="center"/>
          </w:tcPr>
          <w:p w14:paraId="2CDF886F">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0.153</w:t>
            </w:r>
          </w:p>
        </w:tc>
        <w:tc>
          <w:tcPr>
            <w:tcW w:w="1214" w:type="dxa"/>
            <w:tcBorders>
              <w:top w:val="nil"/>
              <w:left w:val="nil"/>
              <w:bottom w:val="single" w:color="000000" w:sz="12" w:space="0"/>
              <w:right w:val="nil"/>
            </w:tcBorders>
            <w:tcMar>
              <w:top w:w="8" w:type="dxa"/>
              <w:left w:w="8" w:type="dxa"/>
              <w:bottom w:w="0" w:type="dxa"/>
              <w:right w:w="8" w:type="dxa"/>
            </w:tcMar>
            <w:vAlign w:val="bottom"/>
          </w:tcPr>
          <w:p w14:paraId="1681D15C">
            <w:pPr>
              <w:autoSpaceDE w:val="0"/>
              <w:autoSpaceDN w:val="0"/>
              <w:adjustRightIn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36.96</w:t>
            </w:r>
          </w:p>
        </w:tc>
      </w:tr>
    </w:tbl>
    <w:p w14:paraId="558FE14B">
      <w:pPr>
        <w:autoSpaceDE w:val="0"/>
        <w:autoSpaceDN w:val="0"/>
        <w:adjustRightInd w:val="0"/>
        <w:spacing w:line="360" w:lineRule="auto"/>
        <w:rPr>
          <w:rFonts w:ascii="Times New Roman" w:hAnsi="Times New Roman" w:cs="Times New Roman"/>
          <w:color w:val="auto"/>
          <w:kern w:val="0"/>
          <w:sz w:val="24"/>
          <w:szCs w:val="24"/>
        </w:rPr>
      </w:pPr>
    </w:p>
    <w:p w14:paraId="0BC2DD88">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274310" cy="4586605"/>
            <wp:effectExtent l="0" t="0" r="2540" b="4445"/>
            <wp:docPr id="1823286242" name="图片 1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286242" name="图片 11" descr="图表&#10;&#10;AI 生成的内容可能不正确。"/>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4310" cy="4586605"/>
                    </a:xfrm>
                    <a:prstGeom prst="rect">
                      <a:avLst/>
                    </a:prstGeom>
                    <a:noFill/>
                    <a:ln>
                      <a:noFill/>
                    </a:ln>
                  </pic:spPr>
                </pic:pic>
              </a:graphicData>
            </a:graphic>
          </wp:inline>
        </w:drawing>
      </w:r>
      <w:r>
        <w:rPr>
          <w:rFonts w:hint="eastAsia" w:ascii="Times New Roman" w:hAnsi="Times New Roman" w:cs="Times New Roman"/>
          <w:color w:val="auto"/>
          <w:kern w:val="0"/>
          <w:sz w:val="24"/>
          <w:szCs w:val="24"/>
        </w:rPr>
        <w:t xml:space="preserve"> </w:t>
      </w:r>
    </w:p>
    <w:p w14:paraId="4DB9515E">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 xml:space="preserve">Figure S17. </w:t>
      </w:r>
      <w:r>
        <w:rPr>
          <w:rFonts w:hint="eastAsia" w:ascii="Times New Roman" w:hAnsi="Times New Roman" w:cs="Times New Roman"/>
          <w:color w:val="auto"/>
          <w:kern w:val="0"/>
          <w:sz w:val="24"/>
          <w:szCs w:val="24"/>
        </w:rPr>
        <w:t xml:space="preserve">Depth-dependent absorption spectra of ITO/PEDOT:PSS/active layer/PNDIT-F3N samples under etching time: a) D18:eC9, b) HS-casted D18:eC9 films, c) D18/eC9 SqP and d) D18 HS/eC9 SqP films. </w:t>
      </w:r>
    </w:p>
    <w:p w14:paraId="59736E5F">
      <w:pPr>
        <w:autoSpaceDE w:val="0"/>
        <w:autoSpaceDN w:val="0"/>
        <w:adjustRightInd w:val="0"/>
        <w:spacing w:line="360" w:lineRule="auto"/>
        <w:rPr>
          <w:rFonts w:ascii="Times New Roman" w:hAnsi="Times New Roman" w:cs="Times New Roman"/>
          <w:color w:val="auto"/>
          <w:kern w:val="0"/>
          <w:sz w:val="24"/>
          <w:szCs w:val="24"/>
        </w:rPr>
      </w:pPr>
    </w:p>
    <w:p w14:paraId="3C5E0994">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2646045" cy="2131060"/>
            <wp:effectExtent l="0" t="0" r="1905" b="2540"/>
            <wp:docPr id="192676435" name="图片 7"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76435" name="图片 7" descr="图表, 折线图&#10;&#10;AI 生成的内容可能不正确。"/>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46045" cy="2131060"/>
                    </a:xfrm>
                    <a:prstGeom prst="rect">
                      <a:avLst/>
                    </a:prstGeom>
                    <a:noFill/>
                    <a:ln>
                      <a:noFill/>
                    </a:ln>
                  </pic:spPr>
                </pic:pic>
              </a:graphicData>
            </a:graphic>
          </wp:inline>
        </w:drawing>
      </w:r>
    </w:p>
    <w:p w14:paraId="7EA24F26">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S18.</w:t>
      </w:r>
      <w:r>
        <w:rPr>
          <w:rFonts w:hint="eastAsia" w:ascii="Times New Roman" w:hAnsi="Times New Roman" w:cs="Times New Roman"/>
          <w:color w:val="auto"/>
          <w:kern w:val="0"/>
          <w:sz w:val="24"/>
          <w:szCs w:val="24"/>
        </w:rPr>
        <w:t xml:space="preserve"> Normalized absorption spectra of pristine eC9 films. </w:t>
      </w:r>
    </w:p>
    <w:p w14:paraId="33C36396">
      <w:pPr>
        <w:autoSpaceDE w:val="0"/>
        <w:autoSpaceDN w:val="0"/>
        <w:adjustRightInd w:val="0"/>
        <w:spacing w:line="360" w:lineRule="auto"/>
        <w:jc w:val="center"/>
        <w:rPr>
          <w:rFonts w:ascii="Times New Roman" w:hAnsi="Times New Roman" w:cs="Times New Roman"/>
          <w:color w:val="auto"/>
          <w:kern w:val="0"/>
          <w:sz w:val="24"/>
          <w:szCs w:val="24"/>
        </w:rPr>
      </w:pPr>
      <w:r>
        <w:rPr>
          <w:rFonts w:hint="eastAsia" w:ascii="Times New Roman" w:hAnsi="Times New Roman" w:cs="Times New Roman"/>
          <w:color w:val="auto"/>
          <w:kern w:val="0"/>
          <w:sz w:val="24"/>
          <w:szCs w:val="24"/>
        </w:rPr>
        <w:drawing>
          <wp:inline distT="0" distB="0" distL="114300" distR="114300">
            <wp:extent cx="5111750" cy="2016125"/>
            <wp:effectExtent l="0" t="0" r="6350" b="3175"/>
            <wp:docPr id="10" name="图片 10" descr="1753175310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53175310416"/>
                    <pic:cNvPicPr>
                      <a:picLocks noChangeAspect="1"/>
                    </pic:cNvPicPr>
                  </pic:nvPicPr>
                  <pic:blipFill>
                    <a:blip r:embed="rId22"/>
                    <a:stretch>
                      <a:fillRect/>
                    </a:stretch>
                  </pic:blipFill>
                  <pic:spPr>
                    <a:xfrm>
                      <a:off x="0" y="0"/>
                      <a:ext cx="5111750" cy="2016125"/>
                    </a:xfrm>
                    <a:prstGeom prst="rect">
                      <a:avLst/>
                    </a:prstGeom>
                  </pic:spPr>
                </pic:pic>
              </a:graphicData>
            </a:graphic>
          </wp:inline>
        </w:drawing>
      </w:r>
    </w:p>
    <w:p w14:paraId="69D031DA">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S19.</w:t>
      </w:r>
      <w:r>
        <w:rPr>
          <w:rFonts w:hint="eastAsia" w:ascii="Times New Roman" w:hAnsi="Times New Roman" w:cs="Times New Roman"/>
          <w:color w:val="auto"/>
          <w:kern w:val="0"/>
          <w:sz w:val="24"/>
          <w:szCs w:val="24"/>
        </w:rPr>
        <w:t xml:space="preserve"> The integration of exciton generation rates over film depth direction. </w:t>
      </w:r>
    </w:p>
    <w:p w14:paraId="73157985">
      <w:pPr>
        <w:autoSpaceDE w:val="0"/>
        <w:autoSpaceDN w:val="0"/>
        <w:adjustRightInd w:val="0"/>
        <w:spacing w:line="360" w:lineRule="auto"/>
        <w:jc w:val="center"/>
        <w:rPr>
          <w:rFonts w:ascii="Times New Roman" w:hAnsi="Times New Roman" w:cs="Times New Roman"/>
          <w:color w:val="auto"/>
          <w:kern w:val="0"/>
          <w:sz w:val="24"/>
          <w:szCs w:val="24"/>
        </w:rPr>
      </w:pPr>
    </w:p>
    <w:p w14:paraId="19E3D0CA">
      <w:pPr>
        <w:autoSpaceDE w:val="0"/>
        <w:autoSpaceDN w:val="0"/>
        <w:adjustRightInd w:val="0"/>
        <w:spacing w:line="360" w:lineRule="auto"/>
        <w:jc w:val="center"/>
        <w:rPr>
          <w:rFonts w:ascii="Times New Roman" w:hAnsi="Times New Roman" w:cs="Times New Roman"/>
          <w:color w:val="auto"/>
          <w:kern w:val="0"/>
          <w:sz w:val="24"/>
          <w:szCs w:val="24"/>
        </w:rPr>
      </w:pPr>
    </w:p>
    <w:p w14:paraId="53CD9765">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2879725" cy="2336800"/>
            <wp:effectExtent l="0" t="0" r="0" b="6350"/>
            <wp:docPr id="1028666446" name="图片 2" descr="图表,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66446" name="图片 2" descr="图表, 图示&#10;&#10;AI 生成的内容可能不正确。"/>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0000" cy="2336888"/>
                    </a:xfrm>
                    <a:prstGeom prst="rect">
                      <a:avLst/>
                    </a:prstGeom>
                    <a:noFill/>
                    <a:ln>
                      <a:noFill/>
                    </a:ln>
                  </pic:spPr>
                </pic:pic>
              </a:graphicData>
            </a:graphic>
          </wp:inline>
        </w:drawing>
      </w:r>
    </w:p>
    <w:p w14:paraId="1135D882">
      <w:pPr>
        <w:spacing w:line="480" w:lineRule="auto"/>
        <w:rPr>
          <w:rFonts w:ascii="Times New Roman" w:hAnsi="Times New Roman" w:cs="Times New Roman"/>
          <w:color w:val="auto"/>
          <w:sz w:val="24"/>
          <w:szCs w:val="24"/>
        </w:rPr>
      </w:pPr>
      <w:r>
        <w:rPr>
          <w:rFonts w:ascii="Times New Roman" w:hAnsi="Times New Roman" w:cs="Times New Roman"/>
          <w:b/>
          <w:bCs/>
          <w:color w:val="auto"/>
          <w:sz w:val="24"/>
          <w:szCs w:val="24"/>
        </w:rPr>
        <w:t>Figure S</w:t>
      </w:r>
      <w:r>
        <w:rPr>
          <w:rFonts w:hint="eastAsia" w:ascii="Times New Roman" w:hAnsi="Times New Roman" w:cs="Times New Roman"/>
          <w:b/>
          <w:bCs/>
          <w:color w:val="auto"/>
          <w:sz w:val="24"/>
          <w:szCs w:val="24"/>
        </w:rPr>
        <w:t>20</w:t>
      </w:r>
      <w:r>
        <w:rPr>
          <w:rFonts w:ascii="Times New Roman" w:hAnsi="Times New Roman" w:eastAsia="宋体" w:cs="Times New Roman"/>
          <w:b/>
          <w:bCs/>
          <w:color w:val="auto"/>
          <w:sz w:val="24"/>
          <w:szCs w:val="24"/>
        </w:rPr>
        <w:t>.</w:t>
      </w:r>
      <w:r>
        <w:rPr>
          <w:rFonts w:ascii="Times New Roman" w:hAnsi="Times New Roman" w:cs="Times New Roman"/>
          <w:color w:val="auto"/>
          <w:sz w:val="24"/>
          <w:szCs w:val="24"/>
        </w:rPr>
        <w:t xml:space="preserve"> </w:t>
      </w:r>
      <w:r>
        <w:rPr>
          <w:rFonts w:ascii="Times New Roman" w:hAnsi="Times New Roman" w:eastAsia="宋体" w:cs="Times New Roman"/>
          <w:i/>
          <w:iCs/>
          <w:color w:val="auto"/>
          <w:sz w:val="24"/>
          <w:szCs w:val="24"/>
        </w:rPr>
        <w:t>J−V</w:t>
      </w:r>
      <w:r>
        <w:rPr>
          <w:rFonts w:ascii="Times New Roman" w:hAnsi="Times New Roman" w:eastAsia="宋体" w:cs="Times New Roman"/>
          <w:color w:val="auto"/>
          <w:sz w:val="24"/>
          <w:szCs w:val="24"/>
        </w:rPr>
        <w:t xml:space="preserve"> curves</w:t>
      </w:r>
      <w:r>
        <w:rPr>
          <w:rFonts w:ascii="Times New Roman" w:hAnsi="Times New Roman" w:cs="Times New Roman"/>
          <w:color w:val="auto"/>
          <w:sz w:val="24"/>
          <w:szCs w:val="24"/>
        </w:rPr>
        <w:t xml:space="preserve"> of </w:t>
      </w:r>
      <w:r>
        <w:rPr>
          <w:rFonts w:hint="eastAsia" w:ascii="Times New Roman" w:hAnsi="Times New Roman" w:cs="Times New Roman"/>
          <w:color w:val="auto"/>
          <w:sz w:val="24"/>
          <w:szCs w:val="24"/>
        </w:rPr>
        <w:t xml:space="preserve">SqP </w:t>
      </w:r>
      <w:r>
        <w:rPr>
          <w:rFonts w:ascii="Times New Roman" w:hAnsi="Times New Roman" w:cs="Times New Roman"/>
          <w:color w:val="auto"/>
          <w:sz w:val="24"/>
          <w:szCs w:val="24"/>
        </w:rPr>
        <w:t xml:space="preserve">OSCs </w:t>
      </w:r>
      <w:r>
        <w:rPr>
          <w:rFonts w:ascii="Times New Roman" w:hAnsi="Times New Roman" w:eastAsia="宋体" w:cs="Times New Roman"/>
          <w:color w:val="auto"/>
          <w:sz w:val="24"/>
          <w:szCs w:val="24"/>
        </w:rPr>
        <w:t xml:space="preserve">based on </w:t>
      </w:r>
      <w:r>
        <w:rPr>
          <w:rFonts w:hint="eastAsia" w:ascii="Times New Roman" w:hAnsi="Times New Roman" w:cs="Times New Roman"/>
          <w:color w:val="auto"/>
          <w:sz w:val="24"/>
          <w:szCs w:val="24"/>
        </w:rPr>
        <w:t>D18/eC9 and D18 HS/eC9 under different substrate temperature</w:t>
      </w:r>
      <w:r>
        <w:rPr>
          <w:rFonts w:ascii="Times New Roman" w:hAnsi="Times New Roman" w:cs="Times New Roman"/>
          <w:color w:val="auto"/>
          <w:sz w:val="24"/>
          <w:szCs w:val="24"/>
        </w:rPr>
        <w:t>.</w:t>
      </w:r>
    </w:p>
    <w:p w14:paraId="59BFAC65">
      <w:pPr>
        <w:spacing w:line="480" w:lineRule="auto"/>
        <w:rPr>
          <w:rFonts w:ascii="Times New Roman" w:hAnsi="Times New Roman" w:cs="Times New Roman"/>
          <w:color w:val="auto"/>
          <w:sz w:val="24"/>
          <w:szCs w:val="24"/>
        </w:rPr>
      </w:pPr>
    </w:p>
    <w:p w14:paraId="29458F3C">
      <w:pPr>
        <w:spacing w:line="480" w:lineRule="auto"/>
        <w:rPr>
          <w:rFonts w:ascii="Times New Roman" w:hAnsi="Times New Roman" w:cs="Times New Roman"/>
          <w:color w:val="auto"/>
          <w:sz w:val="24"/>
          <w:szCs w:val="24"/>
        </w:rPr>
      </w:pPr>
    </w:p>
    <w:p w14:paraId="6C94C3E4">
      <w:pPr>
        <w:spacing w:line="480" w:lineRule="auto"/>
        <w:rPr>
          <w:rFonts w:ascii="Times New Roman" w:hAnsi="Times New Roman" w:cs="Times New Roman"/>
          <w:color w:val="auto"/>
          <w:sz w:val="24"/>
          <w:szCs w:val="24"/>
        </w:rPr>
      </w:pPr>
    </w:p>
    <w:p w14:paraId="222BEC87">
      <w:pPr>
        <w:spacing w:line="480" w:lineRule="auto"/>
        <w:rPr>
          <w:rFonts w:ascii="Times New Roman" w:hAnsi="Times New Roman" w:cs="Times New Roman"/>
          <w:color w:val="auto"/>
          <w:sz w:val="24"/>
          <w:szCs w:val="24"/>
        </w:rPr>
      </w:pPr>
    </w:p>
    <w:p w14:paraId="0A1DC3B3">
      <w:pPr>
        <w:spacing w:line="480" w:lineRule="auto"/>
        <w:rPr>
          <w:rFonts w:ascii="Times New Roman" w:hAnsi="Times New Roman" w:cs="Times New Roman"/>
          <w:color w:val="auto"/>
          <w:sz w:val="24"/>
          <w:szCs w:val="24"/>
        </w:rPr>
      </w:pPr>
    </w:p>
    <w:p w14:paraId="32E95689">
      <w:pPr>
        <w:spacing w:line="480" w:lineRule="auto"/>
        <w:rPr>
          <w:rFonts w:ascii="Times New Roman" w:hAnsi="Times New Roman" w:cs="Times New Roman"/>
          <w:color w:val="auto"/>
          <w:sz w:val="24"/>
          <w:szCs w:val="24"/>
        </w:rPr>
      </w:pPr>
    </w:p>
    <w:p w14:paraId="3CA99B90">
      <w:pPr>
        <w:spacing w:line="480" w:lineRule="auto"/>
        <w:rPr>
          <w:rFonts w:ascii="Times New Roman" w:hAnsi="Times New Roman" w:eastAsia="宋体" w:cs="Times New Roman"/>
          <w:color w:val="auto"/>
          <w:sz w:val="24"/>
          <w:szCs w:val="28"/>
        </w:rPr>
      </w:pPr>
      <w:r>
        <w:rPr>
          <w:rFonts w:ascii="Times New Roman" w:hAnsi="Times New Roman" w:eastAsia="宋体" w:cs="Times New Roman"/>
          <w:b/>
          <w:bCs/>
          <w:color w:val="auto"/>
          <w:sz w:val="24"/>
          <w:szCs w:val="28"/>
        </w:rPr>
        <w:t>Table S3.</w:t>
      </w:r>
      <w:r>
        <w:rPr>
          <w:rFonts w:ascii="Times New Roman" w:hAnsi="Times New Roman" w:eastAsia="宋体" w:cs="Times New Roman"/>
          <w:color w:val="auto"/>
          <w:sz w:val="24"/>
          <w:szCs w:val="28"/>
        </w:rPr>
        <w:t xml:space="preserve"> Device parameters of </w:t>
      </w:r>
      <w:r>
        <w:rPr>
          <w:rFonts w:hint="eastAsia" w:ascii="Times New Roman" w:hAnsi="Times New Roman" w:eastAsia="宋体" w:cs="Times New Roman"/>
          <w:color w:val="auto"/>
          <w:sz w:val="24"/>
          <w:szCs w:val="28"/>
        </w:rPr>
        <w:t>D18/eC9 and D18 HS/eC9 devices casted at different substrate temperature.</w:t>
      </w:r>
    </w:p>
    <w:tbl>
      <w:tblPr>
        <w:tblStyle w:val="9"/>
        <w:tblW w:w="8433" w:type="dxa"/>
        <w:tblInd w:w="0" w:type="dxa"/>
        <w:tblLayout w:type="autofit"/>
        <w:tblCellMar>
          <w:top w:w="0" w:type="dxa"/>
          <w:left w:w="0" w:type="dxa"/>
          <w:bottom w:w="0" w:type="dxa"/>
          <w:right w:w="0" w:type="dxa"/>
        </w:tblCellMar>
      </w:tblPr>
      <w:tblGrid>
        <w:gridCol w:w="1684"/>
        <w:gridCol w:w="1028"/>
        <w:gridCol w:w="1907"/>
        <w:gridCol w:w="1907"/>
        <w:gridCol w:w="1907"/>
      </w:tblGrid>
      <w:tr w14:paraId="2FBDD624">
        <w:tblPrEx>
          <w:tblCellMar>
            <w:top w:w="0" w:type="dxa"/>
            <w:left w:w="0" w:type="dxa"/>
            <w:bottom w:w="0" w:type="dxa"/>
            <w:right w:w="0" w:type="dxa"/>
          </w:tblCellMar>
        </w:tblPrEx>
        <w:trPr>
          <w:trHeight w:val="622" w:hRule="atLeast"/>
        </w:trPr>
        <w:tc>
          <w:tcPr>
            <w:tcW w:w="1684" w:type="dxa"/>
            <w:tcBorders>
              <w:top w:val="single" w:color="auto" w:sz="12" w:space="0"/>
              <w:left w:val="nil"/>
              <w:bottom w:val="single" w:color="auto" w:sz="12" w:space="0"/>
              <w:right w:val="nil"/>
            </w:tcBorders>
            <w:tcMar>
              <w:top w:w="55" w:type="dxa"/>
              <w:left w:w="111" w:type="dxa"/>
              <w:bottom w:w="55" w:type="dxa"/>
              <w:right w:w="111" w:type="dxa"/>
            </w:tcMar>
            <w:vAlign w:val="center"/>
          </w:tcPr>
          <w:p w14:paraId="51C1BC54">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Condition</w:t>
            </w:r>
          </w:p>
        </w:tc>
        <w:tc>
          <w:tcPr>
            <w:tcW w:w="1028" w:type="dxa"/>
            <w:tcBorders>
              <w:top w:val="single" w:color="auto" w:sz="12" w:space="0"/>
              <w:left w:val="nil"/>
              <w:bottom w:val="single" w:color="auto" w:sz="12" w:space="0"/>
              <w:right w:val="nil"/>
            </w:tcBorders>
            <w:tcMar>
              <w:top w:w="15" w:type="dxa"/>
              <w:left w:w="15" w:type="dxa"/>
              <w:bottom w:w="54" w:type="dxa"/>
              <w:right w:w="15" w:type="dxa"/>
            </w:tcMar>
            <w:vAlign w:val="center"/>
          </w:tcPr>
          <w:p w14:paraId="1062B444">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i/>
                <w:iCs/>
                <w:color w:val="auto"/>
                <w:kern w:val="0"/>
                <w:sz w:val="24"/>
                <w:szCs w:val="24"/>
              </w:rPr>
              <w:t>V</w:t>
            </w:r>
            <w:r>
              <w:rPr>
                <w:rFonts w:ascii="Times New Roman" w:hAnsi="Times New Roman" w:cs="Times New Roman"/>
                <w:color w:val="auto"/>
                <w:kern w:val="0"/>
                <w:sz w:val="24"/>
                <w:szCs w:val="24"/>
                <w:vertAlign w:val="subscript"/>
              </w:rPr>
              <w:t xml:space="preserve">OC </w:t>
            </w:r>
            <w:r>
              <w:rPr>
                <w:rFonts w:ascii="Times New Roman" w:hAnsi="Times New Roman" w:cs="Times New Roman"/>
                <w:color w:val="auto"/>
                <w:kern w:val="0"/>
                <w:sz w:val="24"/>
                <w:szCs w:val="24"/>
              </w:rPr>
              <w:t>[V]</w:t>
            </w:r>
          </w:p>
        </w:tc>
        <w:tc>
          <w:tcPr>
            <w:tcW w:w="1907" w:type="dxa"/>
            <w:tcBorders>
              <w:top w:val="single" w:color="auto" w:sz="12" w:space="0"/>
              <w:left w:val="nil"/>
              <w:bottom w:val="single" w:color="auto" w:sz="12" w:space="0"/>
              <w:right w:val="nil"/>
            </w:tcBorders>
            <w:tcMar>
              <w:top w:w="15" w:type="dxa"/>
              <w:left w:w="15" w:type="dxa"/>
              <w:bottom w:w="54" w:type="dxa"/>
              <w:right w:w="15" w:type="dxa"/>
            </w:tcMar>
            <w:vAlign w:val="center"/>
          </w:tcPr>
          <w:p w14:paraId="35AA4EB3">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i/>
                <w:iCs/>
                <w:color w:val="auto"/>
                <w:kern w:val="0"/>
                <w:sz w:val="24"/>
                <w:szCs w:val="24"/>
              </w:rPr>
              <w:t>J</w:t>
            </w:r>
            <w:r>
              <w:rPr>
                <w:rFonts w:ascii="Times New Roman" w:hAnsi="Times New Roman" w:cs="Times New Roman"/>
                <w:color w:val="auto"/>
                <w:kern w:val="0"/>
                <w:sz w:val="24"/>
                <w:szCs w:val="24"/>
                <w:vertAlign w:val="subscript"/>
              </w:rPr>
              <w:t xml:space="preserve">SC </w:t>
            </w:r>
            <w:r>
              <w:rPr>
                <w:rFonts w:ascii="Times New Roman" w:hAnsi="Times New Roman" w:cs="Times New Roman"/>
                <w:color w:val="auto"/>
                <w:kern w:val="0"/>
                <w:sz w:val="24"/>
                <w:szCs w:val="24"/>
              </w:rPr>
              <w:t>[mA cm</w:t>
            </w:r>
            <w:r>
              <w:rPr>
                <w:rFonts w:ascii="Times New Roman" w:hAnsi="Times New Roman" w:cs="Times New Roman"/>
                <w:color w:val="auto"/>
                <w:kern w:val="0"/>
                <w:sz w:val="24"/>
                <w:szCs w:val="24"/>
                <w:vertAlign w:val="superscript"/>
              </w:rPr>
              <w:t>-2</w:t>
            </w:r>
            <w:r>
              <w:rPr>
                <w:rFonts w:ascii="Times New Roman" w:hAnsi="Times New Roman" w:cs="Times New Roman"/>
                <w:color w:val="auto"/>
                <w:kern w:val="0"/>
                <w:sz w:val="24"/>
                <w:szCs w:val="24"/>
              </w:rPr>
              <w:t>]</w:t>
            </w:r>
          </w:p>
        </w:tc>
        <w:tc>
          <w:tcPr>
            <w:tcW w:w="1907" w:type="dxa"/>
            <w:tcBorders>
              <w:top w:val="single" w:color="auto" w:sz="12" w:space="0"/>
              <w:left w:val="nil"/>
              <w:bottom w:val="single" w:color="auto" w:sz="12" w:space="0"/>
              <w:right w:val="nil"/>
            </w:tcBorders>
            <w:tcMar>
              <w:top w:w="15" w:type="dxa"/>
              <w:left w:w="15" w:type="dxa"/>
              <w:bottom w:w="54" w:type="dxa"/>
              <w:right w:w="15" w:type="dxa"/>
            </w:tcMar>
            <w:vAlign w:val="center"/>
          </w:tcPr>
          <w:p w14:paraId="6199F321">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FF [%]</w:t>
            </w:r>
          </w:p>
        </w:tc>
        <w:tc>
          <w:tcPr>
            <w:tcW w:w="1907" w:type="dxa"/>
            <w:tcBorders>
              <w:top w:val="single" w:color="auto" w:sz="12" w:space="0"/>
              <w:left w:val="nil"/>
              <w:bottom w:val="single" w:color="auto" w:sz="12" w:space="0"/>
              <w:right w:val="nil"/>
            </w:tcBorders>
            <w:tcMar>
              <w:top w:w="15" w:type="dxa"/>
              <w:left w:w="15" w:type="dxa"/>
              <w:bottom w:w="54" w:type="dxa"/>
              <w:right w:w="15" w:type="dxa"/>
            </w:tcMar>
            <w:vAlign w:val="center"/>
          </w:tcPr>
          <w:p w14:paraId="6A112B7A">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PCE</w:t>
            </w:r>
            <w:r>
              <w:rPr>
                <w:rFonts w:ascii="Times New Roman" w:hAnsi="Times New Roman" w:cs="Times New Roman"/>
                <w:color w:val="auto"/>
                <w:kern w:val="0"/>
                <w:sz w:val="24"/>
                <w:szCs w:val="24"/>
                <w:vertAlign w:val="subscript"/>
              </w:rPr>
              <w:t xml:space="preserve"> </w:t>
            </w:r>
            <w:r>
              <w:rPr>
                <w:rFonts w:ascii="Times New Roman" w:hAnsi="Times New Roman" w:cs="Times New Roman"/>
                <w:color w:val="auto"/>
                <w:kern w:val="0"/>
                <w:sz w:val="24"/>
                <w:szCs w:val="24"/>
              </w:rPr>
              <w:t>[%]</w:t>
            </w:r>
          </w:p>
        </w:tc>
      </w:tr>
      <w:tr w14:paraId="274B6080">
        <w:tblPrEx>
          <w:tblCellMar>
            <w:top w:w="0" w:type="dxa"/>
            <w:left w:w="0" w:type="dxa"/>
            <w:bottom w:w="0" w:type="dxa"/>
            <w:right w:w="0" w:type="dxa"/>
          </w:tblCellMar>
        </w:tblPrEx>
        <w:trPr>
          <w:trHeight w:val="320" w:hRule="atLeast"/>
        </w:trPr>
        <w:tc>
          <w:tcPr>
            <w:tcW w:w="1684" w:type="dxa"/>
            <w:tcBorders>
              <w:top w:val="single" w:color="auto" w:sz="12" w:space="0"/>
              <w:left w:val="nil"/>
              <w:bottom w:val="nil"/>
              <w:right w:val="nil"/>
            </w:tcBorders>
            <w:tcMar>
              <w:top w:w="15" w:type="dxa"/>
              <w:left w:w="15" w:type="dxa"/>
              <w:bottom w:w="0" w:type="dxa"/>
              <w:right w:w="15" w:type="dxa"/>
            </w:tcMar>
            <w:vAlign w:val="center"/>
          </w:tcPr>
          <w:p w14:paraId="20CCEF5B">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Control</w:t>
            </w:r>
          </w:p>
        </w:tc>
        <w:tc>
          <w:tcPr>
            <w:tcW w:w="1028" w:type="dxa"/>
            <w:tcBorders>
              <w:top w:val="single" w:color="auto" w:sz="12" w:space="0"/>
              <w:left w:val="nil"/>
              <w:bottom w:val="nil"/>
              <w:right w:val="nil"/>
            </w:tcBorders>
            <w:tcMar>
              <w:top w:w="15" w:type="dxa"/>
              <w:left w:w="15" w:type="dxa"/>
              <w:bottom w:w="0" w:type="dxa"/>
              <w:right w:w="15" w:type="dxa"/>
            </w:tcMar>
            <w:vAlign w:val="center"/>
          </w:tcPr>
          <w:p w14:paraId="71074C73">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0.857</w:t>
            </w:r>
          </w:p>
        </w:tc>
        <w:tc>
          <w:tcPr>
            <w:tcW w:w="1907" w:type="dxa"/>
            <w:tcBorders>
              <w:top w:val="single" w:color="auto" w:sz="12" w:space="0"/>
              <w:left w:val="nil"/>
              <w:bottom w:val="nil"/>
              <w:right w:val="nil"/>
            </w:tcBorders>
            <w:tcMar>
              <w:top w:w="15" w:type="dxa"/>
              <w:left w:w="15" w:type="dxa"/>
              <w:bottom w:w="0" w:type="dxa"/>
              <w:right w:w="15" w:type="dxa"/>
            </w:tcMar>
            <w:vAlign w:val="center"/>
          </w:tcPr>
          <w:p w14:paraId="400CC22D">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27.75</w:t>
            </w:r>
          </w:p>
        </w:tc>
        <w:tc>
          <w:tcPr>
            <w:tcW w:w="1907" w:type="dxa"/>
            <w:tcBorders>
              <w:top w:val="single" w:color="auto" w:sz="12" w:space="0"/>
              <w:left w:val="nil"/>
              <w:bottom w:val="nil"/>
              <w:right w:val="nil"/>
            </w:tcBorders>
            <w:tcMar>
              <w:top w:w="15" w:type="dxa"/>
              <w:left w:w="15" w:type="dxa"/>
              <w:bottom w:w="0" w:type="dxa"/>
              <w:right w:w="15" w:type="dxa"/>
            </w:tcMar>
            <w:vAlign w:val="center"/>
          </w:tcPr>
          <w:p w14:paraId="44820F7D">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79.37</w:t>
            </w:r>
          </w:p>
        </w:tc>
        <w:tc>
          <w:tcPr>
            <w:tcW w:w="1907" w:type="dxa"/>
            <w:tcBorders>
              <w:top w:val="single" w:color="auto" w:sz="12" w:space="0"/>
              <w:left w:val="nil"/>
              <w:bottom w:val="nil"/>
              <w:right w:val="nil"/>
            </w:tcBorders>
            <w:tcMar>
              <w:top w:w="15" w:type="dxa"/>
              <w:left w:w="15" w:type="dxa"/>
              <w:bottom w:w="0" w:type="dxa"/>
              <w:right w:w="15" w:type="dxa"/>
            </w:tcMar>
            <w:vAlign w:val="center"/>
          </w:tcPr>
          <w:p w14:paraId="4C9911C4">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18.89</w:t>
            </w:r>
          </w:p>
        </w:tc>
      </w:tr>
      <w:tr w14:paraId="78D063E3">
        <w:tblPrEx>
          <w:tblCellMar>
            <w:top w:w="0" w:type="dxa"/>
            <w:left w:w="0" w:type="dxa"/>
            <w:bottom w:w="0" w:type="dxa"/>
            <w:right w:w="0" w:type="dxa"/>
          </w:tblCellMar>
        </w:tblPrEx>
        <w:trPr>
          <w:trHeight w:val="320" w:hRule="atLeast"/>
        </w:trPr>
        <w:tc>
          <w:tcPr>
            <w:tcW w:w="1684" w:type="dxa"/>
            <w:tcBorders>
              <w:top w:val="nil"/>
              <w:left w:val="nil"/>
              <w:bottom w:val="nil"/>
              <w:right w:val="nil"/>
            </w:tcBorders>
            <w:tcMar>
              <w:top w:w="15" w:type="dxa"/>
              <w:left w:w="15" w:type="dxa"/>
              <w:bottom w:w="0" w:type="dxa"/>
              <w:right w:w="15" w:type="dxa"/>
            </w:tcMar>
            <w:vAlign w:val="center"/>
          </w:tcPr>
          <w:p w14:paraId="11C1CF3E">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40℃ HS</w:t>
            </w:r>
          </w:p>
        </w:tc>
        <w:tc>
          <w:tcPr>
            <w:tcW w:w="1028" w:type="dxa"/>
            <w:tcBorders>
              <w:top w:val="nil"/>
              <w:left w:val="nil"/>
              <w:bottom w:val="nil"/>
              <w:right w:val="nil"/>
            </w:tcBorders>
            <w:tcMar>
              <w:top w:w="15" w:type="dxa"/>
              <w:left w:w="15" w:type="dxa"/>
              <w:bottom w:w="0" w:type="dxa"/>
              <w:right w:w="15" w:type="dxa"/>
            </w:tcMar>
            <w:vAlign w:val="center"/>
          </w:tcPr>
          <w:p w14:paraId="53382E9A">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0.863</w:t>
            </w:r>
          </w:p>
        </w:tc>
        <w:tc>
          <w:tcPr>
            <w:tcW w:w="1907" w:type="dxa"/>
            <w:tcBorders>
              <w:top w:val="nil"/>
              <w:left w:val="nil"/>
              <w:bottom w:val="nil"/>
              <w:right w:val="nil"/>
            </w:tcBorders>
            <w:tcMar>
              <w:top w:w="15" w:type="dxa"/>
              <w:left w:w="15" w:type="dxa"/>
              <w:bottom w:w="0" w:type="dxa"/>
              <w:right w:w="15" w:type="dxa"/>
            </w:tcMar>
            <w:vAlign w:val="center"/>
          </w:tcPr>
          <w:p w14:paraId="2D60A2D0">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27.77</w:t>
            </w:r>
          </w:p>
        </w:tc>
        <w:tc>
          <w:tcPr>
            <w:tcW w:w="1907" w:type="dxa"/>
            <w:tcBorders>
              <w:top w:val="nil"/>
              <w:left w:val="nil"/>
              <w:bottom w:val="nil"/>
              <w:right w:val="nil"/>
            </w:tcBorders>
            <w:tcMar>
              <w:top w:w="15" w:type="dxa"/>
              <w:left w:w="15" w:type="dxa"/>
              <w:bottom w:w="0" w:type="dxa"/>
              <w:right w:w="15" w:type="dxa"/>
            </w:tcMar>
            <w:vAlign w:val="center"/>
          </w:tcPr>
          <w:p w14:paraId="6F52C95F">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79.82</w:t>
            </w:r>
          </w:p>
        </w:tc>
        <w:tc>
          <w:tcPr>
            <w:tcW w:w="1907" w:type="dxa"/>
            <w:tcBorders>
              <w:top w:val="nil"/>
              <w:left w:val="nil"/>
              <w:bottom w:val="nil"/>
              <w:right w:val="nil"/>
            </w:tcBorders>
            <w:tcMar>
              <w:top w:w="15" w:type="dxa"/>
              <w:left w:w="15" w:type="dxa"/>
              <w:bottom w:w="0" w:type="dxa"/>
              <w:right w:w="15" w:type="dxa"/>
            </w:tcMar>
            <w:vAlign w:val="center"/>
          </w:tcPr>
          <w:p w14:paraId="56042A1C">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19.12</w:t>
            </w:r>
          </w:p>
        </w:tc>
      </w:tr>
      <w:tr w14:paraId="17554295">
        <w:tblPrEx>
          <w:tblCellMar>
            <w:top w:w="0" w:type="dxa"/>
            <w:left w:w="0" w:type="dxa"/>
            <w:bottom w:w="0" w:type="dxa"/>
            <w:right w:w="0" w:type="dxa"/>
          </w:tblCellMar>
        </w:tblPrEx>
        <w:trPr>
          <w:trHeight w:val="320" w:hRule="atLeast"/>
        </w:trPr>
        <w:tc>
          <w:tcPr>
            <w:tcW w:w="1684" w:type="dxa"/>
            <w:tcBorders>
              <w:top w:val="nil"/>
              <w:left w:val="nil"/>
              <w:bottom w:val="nil"/>
              <w:right w:val="nil"/>
            </w:tcBorders>
            <w:tcMar>
              <w:top w:w="15" w:type="dxa"/>
              <w:left w:w="15" w:type="dxa"/>
              <w:bottom w:w="0" w:type="dxa"/>
              <w:right w:w="15" w:type="dxa"/>
            </w:tcMar>
            <w:vAlign w:val="center"/>
          </w:tcPr>
          <w:p w14:paraId="6D94F4FF">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50℃ HS</w:t>
            </w:r>
          </w:p>
        </w:tc>
        <w:tc>
          <w:tcPr>
            <w:tcW w:w="1028" w:type="dxa"/>
            <w:tcBorders>
              <w:top w:val="nil"/>
              <w:left w:val="nil"/>
              <w:bottom w:val="nil"/>
              <w:right w:val="nil"/>
            </w:tcBorders>
            <w:tcMar>
              <w:top w:w="15" w:type="dxa"/>
              <w:left w:w="15" w:type="dxa"/>
              <w:bottom w:w="0" w:type="dxa"/>
              <w:right w:w="15" w:type="dxa"/>
            </w:tcMar>
            <w:vAlign w:val="center"/>
          </w:tcPr>
          <w:p w14:paraId="0687CC75">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0.868</w:t>
            </w:r>
          </w:p>
        </w:tc>
        <w:tc>
          <w:tcPr>
            <w:tcW w:w="1907" w:type="dxa"/>
            <w:tcBorders>
              <w:top w:val="nil"/>
              <w:left w:val="nil"/>
              <w:bottom w:val="nil"/>
              <w:right w:val="nil"/>
            </w:tcBorders>
            <w:tcMar>
              <w:top w:w="15" w:type="dxa"/>
              <w:left w:w="15" w:type="dxa"/>
              <w:bottom w:w="0" w:type="dxa"/>
              <w:right w:w="15" w:type="dxa"/>
            </w:tcMar>
            <w:vAlign w:val="center"/>
          </w:tcPr>
          <w:p w14:paraId="22BB54AF">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28.10</w:t>
            </w:r>
          </w:p>
        </w:tc>
        <w:tc>
          <w:tcPr>
            <w:tcW w:w="1907" w:type="dxa"/>
            <w:tcBorders>
              <w:top w:val="nil"/>
              <w:left w:val="nil"/>
              <w:bottom w:val="nil"/>
              <w:right w:val="nil"/>
            </w:tcBorders>
            <w:tcMar>
              <w:top w:w="15" w:type="dxa"/>
              <w:left w:w="15" w:type="dxa"/>
              <w:bottom w:w="0" w:type="dxa"/>
              <w:right w:w="15" w:type="dxa"/>
            </w:tcMar>
            <w:vAlign w:val="center"/>
          </w:tcPr>
          <w:p w14:paraId="07AC8F8D">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81.94</w:t>
            </w:r>
          </w:p>
        </w:tc>
        <w:tc>
          <w:tcPr>
            <w:tcW w:w="1907" w:type="dxa"/>
            <w:tcBorders>
              <w:top w:val="nil"/>
              <w:left w:val="nil"/>
              <w:bottom w:val="nil"/>
              <w:right w:val="nil"/>
            </w:tcBorders>
            <w:tcMar>
              <w:top w:w="15" w:type="dxa"/>
              <w:left w:w="15" w:type="dxa"/>
              <w:bottom w:w="0" w:type="dxa"/>
              <w:right w:w="15" w:type="dxa"/>
            </w:tcMar>
            <w:vAlign w:val="center"/>
          </w:tcPr>
          <w:p w14:paraId="020BBCC3">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19.75</w:t>
            </w:r>
          </w:p>
        </w:tc>
      </w:tr>
      <w:tr w14:paraId="4FF97399">
        <w:tblPrEx>
          <w:tblCellMar>
            <w:top w:w="0" w:type="dxa"/>
            <w:left w:w="0" w:type="dxa"/>
            <w:bottom w:w="0" w:type="dxa"/>
            <w:right w:w="0" w:type="dxa"/>
          </w:tblCellMar>
        </w:tblPrEx>
        <w:trPr>
          <w:trHeight w:val="320" w:hRule="atLeast"/>
        </w:trPr>
        <w:tc>
          <w:tcPr>
            <w:tcW w:w="1684" w:type="dxa"/>
            <w:tcBorders>
              <w:top w:val="nil"/>
              <w:left w:val="nil"/>
              <w:right w:val="nil"/>
            </w:tcBorders>
            <w:tcMar>
              <w:top w:w="15" w:type="dxa"/>
              <w:left w:w="15" w:type="dxa"/>
              <w:bottom w:w="0" w:type="dxa"/>
              <w:right w:w="15" w:type="dxa"/>
            </w:tcMar>
            <w:vAlign w:val="center"/>
          </w:tcPr>
          <w:p w14:paraId="3CE81B62">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60℃ HS</w:t>
            </w:r>
          </w:p>
        </w:tc>
        <w:tc>
          <w:tcPr>
            <w:tcW w:w="1028" w:type="dxa"/>
            <w:tcBorders>
              <w:top w:val="nil"/>
              <w:left w:val="nil"/>
              <w:right w:val="nil"/>
            </w:tcBorders>
            <w:tcMar>
              <w:top w:w="15" w:type="dxa"/>
              <w:left w:w="15" w:type="dxa"/>
              <w:bottom w:w="0" w:type="dxa"/>
              <w:right w:w="15" w:type="dxa"/>
            </w:tcMar>
            <w:vAlign w:val="center"/>
          </w:tcPr>
          <w:p w14:paraId="2F6F537F">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0.861</w:t>
            </w:r>
          </w:p>
        </w:tc>
        <w:tc>
          <w:tcPr>
            <w:tcW w:w="1907" w:type="dxa"/>
            <w:tcBorders>
              <w:top w:val="nil"/>
              <w:left w:val="nil"/>
              <w:right w:val="nil"/>
            </w:tcBorders>
            <w:tcMar>
              <w:top w:w="15" w:type="dxa"/>
              <w:left w:w="15" w:type="dxa"/>
              <w:bottom w:w="0" w:type="dxa"/>
              <w:right w:w="15" w:type="dxa"/>
            </w:tcMar>
            <w:vAlign w:val="center"/>
          </w:tcPr>
          <w:p w14:paraId="5CE30142">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28.20</w:t>
            </w:r>
          </w:p>
        </w:tc>
        <w:tc>
          <w:tcPr>
            <w:tcW w:w="1907" w:type="dxa"/>
            <w:tcBorders>
              <w:top w:val="nil"/>
              <w:left w:val="nil"/>
              <w:right w:val="nil"/>
            </w:tcBorders>
            <w:tcMar>
              <w:top w:w="15" w:type="dxa"/>
              <w:left w:w="15" w:type="dxa"/>
              <w:bottom w:w="0" w:type="dxa"/>
              <w:right w:w="15" w:type="dxa"/>
            </w:tcMar>
            <w:vAlign w:val="center"/>
          </w:tcPr>
          <w:p w14:paraId="0BB41DD1">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79.37</w:t>
            </w:r>
          </w:p>
        </w:tc>
        <w:tc>
          <w:tcPr>
            <w:tcW w:w="1907" w:type="dxa"/>
            <w:tcBorders>
              <w:top w:val="nil"/>
              <w:left w:val="nil"/>
              <w:right w:val="nil"/>
            </w:tcBorders>
            <w:tcMar>
              <w:top w:w="15" w:type="dxa"/>
              <w:left w:w="15" w:type="dxa"/>
              <w:bottom w:w="0" w:type="dxa"/>
              <w:right w:w="15" w:type="dxa"/>
            </w:tcMar>
            <w:vAlign w:val="center"/>
          </w:tcPr>
          <w:p w14:paraId="17E8906D">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19.27</w:t>
            </w:r>
          </w:p>
        </w:tc>
      </w:tr>
      <w:tr w14:paraId="311CE1C8">
        <w:tblPrEx>
          <w:tblCellMar>
            <w:top w:w="0" w:type="dxa"/>
            <w:left w:w="0" w:type="dxa"/>
            <w:bottom w:w="0" w:type="dxa"/>
            <w:right w:w="0" w:type="dxa"/>
          </w:tblCellMar>
        </w:tblPrEx>
        <w:trPr>
          <w:trHeight w:val="320" w:hRule="atLeast"/>
        </w:trPr>
        <w:tc>
          <w:tcPr>
            <w:tcW w:w="1684" w:type="dxa"/>
            <w:tcBorders>
              <w:top w:val="nil"/>
              <w:left w:val="nil"/>
              <w:bottom w:val="single" w:color="auto" w:sz="12" w:space="0"/>
              <w:right w:val="nil"/>
            </w:tcBorders>
            <w:tcMar>
              <w:top w:w="15" w:type="dxa"/>
              <w:left w:w="15" w:type="dxa"/>
              <w:bottom w:w="0" w:type="dxa"/>
              <w:right w:w="15" w:type="dxa"/>
            </w:tcMar>
            <w:vAlign w:val="center"/>
          </w:tcPr>
          <w:p w14:paraId="2FD491CB">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70℃ HS</w:t>
            </w:r>
          </w:p>
        </w:tc>
        <w:tc>
          <w:tcPr>
            <w:tcW w:w="1028" w:type="dxa"/>
            <w:tcBorders>
              <w:top w:val="nil"/>
              <w:left w:val="nil"/>
              <w:bottom w:val="single" w:color="auto" w:sz="12" w:space="0"/>
              <w:right w:val="nil"/>
            </w:tcBorders>
            <w:tcMar>
              <w:top w:w="15" w:type="dxa"/>
              <w:left w:w="15" w:type="dxa"/>
              <w:bottom w:w="0" w:type="dxa"/>
              <w:right w:w="15" w:type="dxa"/>
            </w:tcMar>
            <w:vAlign w:val="center"/>
          </w:tcPr>
          <w:p w14:paraId="08E9F117">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0.861</w:t>
            </w:r>
          </w:p>
        </w:tc>
        <w:tc>
          <w:tcPr>
            <w:tcW w:w="1907" w:type="dxa"/>
            <w:tcBorders>
              <w:top w:val="nil"/>
              <w:left w:val="nil"/>
              <w:bottom w:val="single" w:color="auto" w:sz="12" w:space="0"/>
              <w:right w:val="nil"/>
            </w:tcBorders>
            <w:tcMar>
              <w:top w:w="15" w:type="dxa"/>
              <w:left w:w="15" w:type="dxa"/>
              <w:bottom w:w="0" w:type="dxa"/>
              <w:right w:w="15" w:type="dxa"/>
            </w:tcMar>
            <w:vAlign w:val="center"/>
          </w:tcPr>
          <w:p w14:paraId="11D2B8C1">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27.25</w:t>
            </w:r>
          </w:p>
        </w:tc>
        <w:tc>
          <w:tcPr>
            <w:tcW w:w="1907" w:type="dxa"/>
            <w:tcBorders>
              <w:top w:val="nil"/>
              <w:left w:val="nil"/>
              <w:bottom w:val="single" w:color="auto" w:sz="12" w:space="0"/>
              <w:right w:val="nil"/>
            </w:tcBorders>
            <w:tcMar>
              <w:top w:w="15" w:type="dxa"/>
              <w:left w:w="15" w:type="dxa"/>
              <w:bottom w:w="0" w:type="dxa"/>
              <w:right w:w="15" w:type="dxa"/>
            </w:tcMar>
            <w:vAlign w:val="center"/>
          </w:tcPr>
          <w:p w14:paraId="5C067CD5">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79.17</w:t>
            </w:r>
          </w:p>
        </w:tc>
        <w:tc>
          <w:tcPr>
            <w:tcW w:w="1907" w:type="dxa"/>
            <w:tcBorders>
              <w:top w:val="nil"/>
              <w:left w:val="nil"/>
              <w:bottom w:val="single" w:color="auto" w:sz="12" w:space="0"/>
              <w:right w:val="nil"/>
            </w:tcBorders>
            <w:tcMar>
              <w:top w:w="15" w:type="dxa"/>
              <w:left w:w="15" w:type="dxa"/>
              <w:bottom w:w="0" w:type="dxa"/>
              <w:right w:w="15" w:type="dxa"/>
            </w:tcMar>
            <w:vAlign w:val="center"/>
          </w:tcPr>
          <w:p w14:paraId="7FEFE479">
            <w:pPr>
              <w:autoSpaceDE w:val="0"/>
              <w:autoSpaceDN w:val="0"/>
              <w:adjustRightInd w:val="0"/>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18.57</w:t>
            </w:r>
          </w:p>
        </w:tc>
      </w:tr>
    </w:tbl>
    <w:p w14:paraId="3C0E77D2">
      <w:pPr>
        <w:autoSpaceDE w:val="0"/>
        <w:autoSpaceDN w:val="0"/>
        <w:adjustRightInd w:val="0"/>
        <w:spacing w:line="360" w:lineRule="auto"/>
        <w:jc w:val="center"/>
        <w:rPr>
          <w:rFonts w:ascii="Times New Roman" w:hAnsi="Times New Roman" w:cs="Times New Roman"/>
          <w:color w:val="auto"/>
          <w:kern w:val="0"/>
          <w:sz w:val="24"/>
          <w:szCs w:val="24"/>
        </w:rPr>
      </w:pPr>
    </w:p>
    <w:p w14:paraId="121775AE">
      <w:pPr>
        <w:jc w:val="center"/>
        <w:rPr>
          <w:rFonts w:ascii="Times New Roman" w:hAnsi="Times New Roman" w:cs="Times New Roman"/>
          <w:color w:val="auto"/>
          <w:szCs w:val="21"/>
        </w:rPr>
      </w:pPr>
      <w:r>
        <w:rPr>
          <w:color w:val="auto"/>
        </w:rPr>
        <w:drawing>
          <wp:inline distT="0" distB="0" distL="0" distR="0">
            <wp:extent cx="5219700" cy="2734945"/>
            <wp:effectExtent l="0" t="0" r="0" b="8255"/>
            <wp:docPr id="231521623" name="图片 2"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21623" name="图片 2" descr="图示, 示意图&#10;&#10;AI 生成的内容可能不正确。"/>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20000" cy="2735064"/>
                    </a:xfrm>
                    <a:prstGeom prst="rect">
                      <a:avLst/>
                    </a:prstGeom>
                    <a:noFill/>
                    <a:ln>
                      <a:noFill/>
                    </a:ln>
                  </pic:spPr>
                </pic:pic>
              </a:graphicData>
            </a:graphic>
          </wp:inline>
        </w:drawing>
      </w:r>
    </w:p>
    <w:p w14:paraId="290A4524">
      <w:pPr>
        <w:spacing w:line="360" w:lineRule="auto"/>
        <w:rPr>
          <w:rFonts w:hint="eastAsia" w:ascii="Times New Roman" w:hAnsi="Times New Roman" w:cs="Times New Roman"/>
          <w:color w:val="auto"/>
          <w:sz w:val="24"/>
          <w:szCs w:val="24"/>
        </w:rPr>
      </w:pPr>
      <w:r>
        <w:rPr>
          <w:rFonts w:ascii="Times New Roman" w:hAnsi="Times New Roman" w:cs="Times New Roman"/>
          <w:b/>
          <w:bCs/>
          <w:color w:val="auto"/>
          <w:sz w:val="24"/>
          <w:szCs w:val="24"/>
        </w:rPr>
        <w:t>Figure S</w:t>
      </w:r>
      <w:r>
        <w:rPr>
          <w:rFonts w:hint="eastAsia" w:ascii="Times New Roman" w:hAnsi="Times New Roman" w:cs="Times New Roman"/>
          <w:b/>
          <w:bCs/>
          <w:color w:val="auto"/>
          <w:sz w:val="24"/>
          <w:szCs w:val="24"/>
        </w:rPr>
        <w:t>21</w:t>
      </w:r>
      <w:r>
        <w:rPr>
          <w:rFonts w:ascii="Times New Roman" w:hAnsi="Times New Roman" w:eastAsia="宋体" w:cs="Times New Roman"/>
          <w:b/>
          <w:bCs/>
          <w:color w:val="auto"/>
          <w:sz w:val="24"/>
          <w:szCs w:val="24"/>
        </w:rPr>
        <w:t>.</w:t>
      </w:r>
      <w:r>
        <w:rPr>
          <w:rFonts w:ascii="Times New Roman" w:hAnsi="Times New Roman" w:cs="Times New Roman"/>
          <w:color w:val="auto"/>
          <w:sz w:val="24"/>
          <w:szCs w:val="24"/>
        </w:rPr>
        <w:t xml:space="preserve"> </w:t>
      </w:r>
      <w:r>
        <w:rPr>
          <w:rFonts w:ascii="Times New Roman" w:hAnsi="Times New Roman" w:eastAsia="宋体" w:cs="Times New Roman"/>
          <w:i/>
          <w:iCs/>
          <w:color w:val="auto"/>
          <w:sz w:val="24"/>
          <w:szCs w:val="24"/>
        </w:rPr>
        <w:t>J−V</w:t>
      </w:r>
      <w:r>
        <w:rPr>
          <w:rFonts w:ascii="Times New Roman" w:hAnsi="Times New Roman" w:eastAsia="宋体" w:cs="Times New Roman"/>
          <w:color w:val="auto"/>
          <w:sz w:val="24"/>
          <w:szCs w:val="24"/>
        </w:rPr>
        <w:t xml:space="preserve"> curves</w:t>
      </w:r>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of 10 independent devices</w:t>
      </w:r>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 xml:space="preserve">for each condition of a) D18/eC9 and b) D18 HS/eC9. The distribution of photovoltaic parameters across ten independently fabricated devices for c) </w:t>
      </w:r>
      <w:r>
        <w:rPr>
          <w:rFonts w:hint="eastAsia" w:ascii="Times New Roman" w:hAnsi="Times New Roman" w:cs="Times New Roman"/>
          <w:i/>
          <w:iCs/>
          <w:color w:val="auto"/>
          <w:sz w:val="24"/>
          <w:szCs w:val="24"/>
        </w:rPr>
        <w:t>V</w:t>
      </w:r>
      <w:r>
        <w:rPr>
          <w:rFonts w:hint="eastAsia" w:ascii="Times New Roman" w:hAnsi="Times New Roman" w:cs="Times New Roman"/>
          <w:color w:val="auto"/>
          <w:sz w:val="24"/>
          <w:szCs w:val="24"/>
          <w:vertAlign w:val="subscript"/>
        </w:rPr>
        <w:t>OC</w:t>
      </w:r>
      <w:r>
        <w:rPr>
          <w:rFonts w:hint="eastAsia" w:ascii="Times New Roman" w:hAnsi="Times New Roman" w:cs="Times New Roman"/>
          <w:color w:val="auto"/>
          <w:sz w:val="24"/>
          <w:szCs w:val="24"/>
        </w:rPr>
        <w:t xml:space="preserve">, d) </w:t>
      </w:r>
      <w:r>
        <w:rPr>
          <w:rFonts w:hint="eastAsia" w:ascii="Times New Roman" w:hAnsi="Times New Roman" w:cs="Times New Roman"/>
          <w:i/>
          <w:iCs/>
          <w:color w:val="auto"/>
          <w:sz w:val="24"/>
          <w:szCs w:val="24"/>
        </w:rPr>
        <w:t>J</w:t>
      </w:r>
      <w:r>
        <w:rPr>
          <w:rFonts w:hint="eastAsia" w:ascii="Times New Roman" w:hAnsi="Times New Roman" w:cs="Times New Roman"/>
          <w:color w:val="auto"/>
          <w:sz w:val="24"/>
          <w:szCs w:val="24"/>
          <w:vertAlign w:val="subscript"/>
        </w:rPr>
        <w:t>SC</w:t>
      </w:r>
      <w:r>
        <w:rPr>
          <w:rFonts w:hint="eastAsia" w:ascii="Times New Roman" w:hAnsi="Times New Roman" w:cs="Times New Roman"/>
          <w:color w:val="auto"/>
          <w:sz w:val="24"/>
          <w:szCs w:val="24"/>
        </w:rPr>
        <w:t>, e) FF and f) PCE.</w:t>
      </w:r>
    </w:p>
    <w:p w14:paraId="55BE3232">
      <w:pPr>
        <w:spacing w:line="360" w:lineRule="auto"/>
        <w:rPr>
          <w:rFonts w:hint="eastAsia" w:ascii="Times New Roman" w:hAnsi="Times New Roman" w:cs="Times New Roman"/>
          <w:color w:val="auto"/>
          <w:sz w:val="24"/>
          <w:szCs w:val="24"/>
        </w:rPr>
      </w:pPr>
    </w:p>
    <w:p w14:paraId="71CB06C7">
      <w:pPr>
        <w:spacing w:line="360" w:lineRule="auto"/>
        <w:rPr>
          <w:rFonts w:hint="eastAsia" w:ascii="Times New Roman" w:hAnsi="Times New Roman" w:cs="Times New Roman"/>
          <w:color w:val="auto"/>
          <w:sz w:val="24"/>
          <w:szCs w:val="24"/>
        </w:rPr>
      </w:pPr>
    </w:p>
    <w:p w14:paraId="308CAAA9">
      <w:pPr>
        <w:spacing w:line="360" w:lineRule="auto"/>
        <w:rPr>
          <w:rFonts w:hint="eastAsia" w:ascii="Times New Roman" w:hAnsi="Times New Roman" w:cs="Times New Roman"/>
          <w:color w:val="auto"/>
          <w:sz w:val="24"/>
          <w:szCs w:val="24"/>
        </w:rPr>
      </w:pPr>
    </w:p>
    <w:p w14:paraId="04EBC72E">
      <w:pPr>
        <w:spacing w:line="360" w:lineRule="auto"/>
        <w:rPr>
          <w:rFonts w:hint="eastAsia" w:ascii="Times New Roman" w:hAnsi="Times New Roman" w:cs="Times New Roman"/>
          <w:color w:val="auto"/>
          <w:sz w:val="24"/>
          <w:szCs w:val="24"/>
        </w:rPr>
      </w:pPr>
    </w:p>
    <w:p w14:paraId="4E04D59D">
      <w:pPr>
        <w:spacing w:line="360" w:lineRule="auto"/>
        <w:rPr>
          <w:rFonts w:hint="eastAsia" w:ascii="Times New Roman" w:hAnsi="Times New Roman" w:cs="Times New Roman"/>
          <w:color w:val="auto"/>
          <w:sz w:val="24"/>
          <w:szCs w:val="24"/>
        </w:rPr>
      </w:pPr>
    </w:p>
    <w:p w14:paraId="0A12D30C">
      <w:pPr>
        <w:spacing w:line="360" w:lineRule="auto"/>
        <w:rPr>
          <w:rFonts w:hint="eastAsia" w:ascii="Times New Roman" w:hAnsi="Times New Roman" w:cs="Times New Roman"/>
          <w:color w:val="auto"/>
          <w:sz w:val="24"/>
          <w:szCs w:val="24"/>
        </w:rPr>
      </w:pPr>
    </w:p>
    <w:p w14:paraId="5875D265">
      <w:pPr>
        <w:spacing w:line="360" w:lineRule="auto"/>
        <w:rPr>
          <w:rFonts w:hint="eastAsia" w:ascii="Times New Roman" w:hAnsi="Times New Roman" w:cs="Times New Roman"/>
          <w:color w:val="auto"/>
          <w:sz w:val="24"/>
          <w:szCs w:val="24"/>
        </w:rPr>
      </w:pPr>
    </w:p>
    <w:p w14:paraId="23A452B8">
      <w:pPr>
        <w:spacing w:line="360" w:lineRule="auto"/>
        <w:rPr>
          <w:rFonts w:hint="eastAsia" w:ascii="Times New Roman" w:hAnsi="Times New Roman" w:cs="Times New Roman"/>
          <w:color w:val="auto"/>
          <w:sz w:val="24"/>
          <w:szCs w:val="24"/>
        </w:rPr>
      </w:pPr>
    </w:p>
    <w:p w14:paraId="5B1DE3A2">
      <w:pPr>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drawing>
          <wp:inline distT="0" distB="0" distL="114300" distR="114300">
            <wp:extent cx="5080635" cy="1908810"/>
            <wp:effectExtent l="0" t="0" r="12065" b="8890"/>
            <wp:docPr id="1" name="图片 1" descr="1755194138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55194138385"/>
                    <pic:cNvPicPr>
                      <a:picLocks noChangeAspect="1"/>
                    </pic:cNvPicPr>
                  </pic:nvPicPr>
                  <pic:blipFill>
                    <a:blip r:embed="rId25"/>
                    <a:stretch>
                      <a:fillRect/>
                    </a:stretch>
                  </pic:blipFill>
                  <pic:spPr>
                    <a:xfrm>
                      <a:off x="0" y="0"/>
                      <a:ext cx="5080635" cy="1908810"/>
                    </a:xfrm>
                    <a:prstGeom prst="rect">
                      <a:avLst/>
                    </a:prstGeom>
                  </pic:spPr>
                </pic:pic>
              </a:graphicData>
            </a:graphic>
          </wp:inline>
        </w:drawing>
      </w:r>
    </w:p>
    <w:p w14:paraId="0FEBB384">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Times New Roman" w:hAnsi="Times New Roman" w:cs="Times New Roman"/>
          <w:color w:val="auto"/>
          <w:sz w:val="24"/>
          <w:szCs w:val="24"/>
          <w:lang w:val="en-US" w:eastAsia="zh-CN"/>
        </w:rPr>
      </w:pPr>
      <w:r>
        <w:rPr>
          <w:rFonts w:hint="eastAsia" w:ascii="Times New Roman" w:hAnsi="Times New Roman" w:cs="Times New Roman"/>
          <w:b/>
          <w:bCs/>
          <w:color w:val="auto"/>
          <w:sz w:val="24"/>
          <w:szCs w:val="24"/>
          <w:lang w:val="en-US" w:eastAsia="zh-CN"/>
        </w:rPr>
        <w:t>Figure S22</w:t>
      </w:r>
      <w:r>
        <w:rPr>
          <w:rFonts w:hint="eastAsia" w:ascii="Times New Roman" w:hAnsi="Times New Roman" w:cs="Times New Roman"/>
          <w:color w:val="auto"/>
          <w:sz w:val="24"/>
          <w:szCs w:val="24"/>
          <w:lang w:val="en-US" w:eastAsia="zh-CN"/>
        </w:rPr>
        <w:t xml:space="preserve">. a) </w:t>
      </w:r>
      <w:r>
        <w:rPr>
          <w:rFonts w:hint="eastAsia" w:ascii="Times New Roman" w:hAnsi="Times New Roman" w:cs="Times New Roman"/>
          <w:i/>
          <w:iCs/>
          <w:color w:val="auto"/>
          <w:sz w:val="24"/>
          <w:szCs w:val="24"/>
          <w:lang w:val="en-US" w:eastAsia="zh-CN"/>
        </w:rPr>
        <w:t>J-V</w:t>
      </w:r>
      <w:r>
        <w:rPr>
          <w:rFonts w:hint="eastAsia" w:ascii="Times New Roman" w:hAnsi="Times New Roman" w:cs="Times New Roman"/>
          <w:color w:val="auto"/>
          <w:sz w:val="24"/>
          <w:szCs w:val="24"/>
          <w:lang w:val="en-US" w:eastAsia="zh-CN"/>
        </w:rPr>
        <w:t xml:space="preserve"> curves curves and b) corresponding EQE spectra of D18/eC9 devices based on the hot-solution method and the combined method.</w:t>
      </w:r>
    </w:p>
    <w:p w14:paraId="44DC7596">
      <w:pPr>
        <w:spacing w:line="360" w:lineRule="auto"/>
        <w:rPr>
          <w:rFonts w:hint="eastAsia" w:ascii="Times New Roman" w:hAnsi="Times New Roman" w:cs="Times New Roman"/>
          <w:b/>
          <w:bCs/>
          <w:color w:val="auto"/>
          <w:sz w:val="24"/>
          <w:szCs w:val="24"/>
          <w:lang w:val="en-US" w:eastAsia="zh-CN"/>
        </w:rPr>
      </w:pPr>
    </w:p>
    <w:p w14:paraId="31FFF41E">
      <w:pPr>
        <w:spacing w:line="360" w:lineRule="auto"/>
        <w:rPr>
          <w:rFonts w:hint="default" w:ascii="Times New Roman" w:hAnsi="Times New Roman" w:cs="Times New Roman" w:eastAsiaTheme="minorEastAsia"/>
          <w:color w:val="auto"/>
          <w:sz w:val="24"/>
          <w:szCs w:val="24"/>
          <w:lang w:val="en-US" w:eastAsia="zh-CN"/>
        </w:rPr>
      </w:pPr>
      <w:r>
        <w:rPr>
          <w:rFonts w:hint="eastAsia" w:ascii="Times New Roman" w:hAnsi="Times New Roman" w:cs="Times New Roman"/>
          <w:b/>
          <w:bCs/>
          <w:color w:val="auto"/>
          <w:sz w:val="24"/>
          <w:szCs w:val="24"/>
          <w:lang w:val="en-US" w:eastAsia="zh-CN"/>
        </w:rPr>
        <w:t>Table S4</w:t>
      </w:r>
      <w:r>
        <w:rPr>
          <w:rFonts w:hint="eastAsia" w:ascii="Times New Roman" w:hAnsi="Times New Roman" w:cs="Times New Roman"/>
          <w:color w:val="auto"/>
          <w:sz w:val="24"/>
          <w:szCs w:val="24"/>
          <w:lang w:val="en-US" w:eastAsia="zh-CN"/>
        </w:rPr>
        <w:t>. Photovoltaic parameters of D18/eC9 devices with PEDOT:PSS as the hole transport layer.</w:t>
      </w:r>
    </w:p>
    <w:tbl>
      <w:tblPr>
        <w:tblStyle w:val="9"/>
        <w:tblW w:w="8312" w:type="dxa"/>
        <w:tblInd w:w="0" w:type="dxa"/>
        <w:tblLayout w:type="autofit"/>
        <w:tblCellMar>
          <w:top w:w="0" w:type="dxa"/>
          <w:left w:w="0" w:type="dxa"/>
          <w:bottom w:w="0" w:type="dxa"/>
          <w:right w:w="0" w:type="dxa"/>
        </w:tblCellMar>
      </w:tblPr>
      <w:tblGrid>
        <w:gridCol w:w="1662"/>
        <w:gridCol w:w="1662"/>
        <w:gridCol w:w="1663"/>
        <w:gridCol w:w="1662"/>
        <w:gridCol w:w="1663"/>
      </w:tblGrid>
      <w:tr w14:paraId="7AB7E92E">
        <w:tblPrEx>
          <w:tblCellMar>
            <w:top w:w="0" w:type="dxa"/>
            <w:left w:w="0" w:type="dxa"/>
            <w:bottom w:w="0" w:type="dxa"/>
            <w:right w:w="0" w:type="dxa"/>
          </w:tblCellMar>
        </w:tblPrEx>
        <w:trPr>
          <w:trHeight w:val="118" w:hRule="atLeast"/>
        </w:trPr>
        <w:tc>
          <w:tcPr>
            <w:tcW w:w="1662" w:type="dxa"/>
            <w:tcBorders>
              <w:top w:val="single" w:color="auto" w:sz="12" w:space="0"/>
              <w:left w:val="nil"/>
              <w:bottom w:val="single" w:color="auto" w:sz="12" w:space="0"/>
              <w:right w:val="nil"/>
            </w:tcBorders>
            <w:tcMar>
              <w:top w:w="15" w:type="dxa"/>
              <w:left w:w="15" w:type="dxa"/>
              <w:bottom w:w="54" w:type="dxa"/>
              <w:right w:w="15" w:type="dxa"/>
            </w:tcMar>
            <w:vAlign w:val="center"/>
          </w:tcPr>
          <w:p w14:paraId="51A33A39">
            <w:pPr>
              <w:spacing w:before="0" w:after="0"/>
              <w:jc w:val="center"/>
              <w:rPr>
                <w:rFonts w:hint="default" w:ascii="Times New Roman" w:hAnsi="Times New Roman" w:cs="Times New Roman"/>
                <w:color w:val="auto"/>
                <w:sz w:val="24"/>
                <w:szCs w:val="24"/>
                <w:lang w:eastAsia="zh-CN"/>
              </w:rPr>
            </w:pPr>
            <w:r>
              <w:rPr>
                <w:rFonts w:hint="default" w:ascii="Times New Roman" w:hAnsi="Times New Roman" w:cs="Times New Roman"/>
                <w:color w:val="auto"/>
                <w:kern w:val="24"/>
                <w:sz w:val="24"/>
                <w:szCs w:val="24"/>
              </w:rPr>
              <w:t>Condition</w:t>
            </w:r>
          </w:p>
        </w:tc>
        <w:tc>
          <w:tcPr>
            <w:tcW w:w="1662" w:type="dxa"/>
            <w:tcBorders>
              <w:top w:val="single" w:color="auto" w:sz="12" w:space="0"/>
              <w:left w:val="nil"/>
              <w:bottom w:val="single" w:color="auto" w:sz="12" w:space="0"/>
              <w:right w:val="nil"/>
            </w:tcBorders>
            <w:tcMar>
              <w:top w:w="15" w:type="dxa"/>
              <w:left w:w="15" w:type="dxa"/>
              <w:bottom w:w="54" w:type="dxa"/>
              <w:right w:w="15" w:type="dxa"/>
            </w:tcMar>
            <w:vAlign w:val="center"/>
          </w:tcPr>
          <w:p w14:paraId="7DFD6D7A">
            <w:pPr>
              <w:spacing w:before="0" w:after="0"/>
              <w:jc w:val="center"/>
              <w:rPr>
                <w:rFonts w:hint="default" w:ascii="Times New Roman" w:hAnsi="Times New Roman" w:cs="Times New Roman"/>
                <w:color w:val="auto"/>
                <w:sz w:val="24"/>
                <w:szCs w:val="24"/>
                <w:lang w:eastAsia="zh-CN"/>
              </w:rPr>
            </w:pPr>
            <w:r>
              <w:rPr>
                <w:rFonts w:hint="default" w:ascii="Times New Roman" w:hAnsi="Times New Roman" w:eastAsia="等线" w:cs="Times New Roman"/>
                <w:i/>
                <w:iCs/>
                <w:color w:val="auto"/>
                <w:kern w:val="2"/>
                <w:sz w:val="24"/>
                <w:szCs w:val="24"/>
              </w:rPr>
              <w:t>V</w:t>
            </w:r>
            <w:r>
              <w:rPr>
                <w:rFonts w:hint="default" w:ascii="Times New Roman" w:hAnsi="Times New Roman" w:eastAsia="等线" w:cs="Times New Roman"/>
                <w:color w:val="auto"/>
                <w:kern w:val="2"/>
                <w:position w:val="-7"/>
                <w:sz w:val="24"/>
                <w:szCs w:val="24"/>
                <w:vertAlign w:val="subscript"/>
              </w:rPr>
              <w:t>OC</w:t>
            </w:r>
            <w:r>
              <w:rPr>
                <w:rFonts w:hint="default" w:ascii="Times New Roman" w:hAnsi="Times New Roman" w:eastAsia="等线" w:cs="Times New Roman"/>
                <w:color w:val="auto"/>
                <w:kern w:val="2"/>
                <w:sz w:val="24"/>
                <w:szCs w:val="24"/>
              </w:rPr>
              <w:t>[V]</w:t>
            </w:r>
          </w:p>
        </w:tc>
        <w:tc>
          <w:tcPr>
            <w:tcW w:w="1663" w:type="dxa"/>
            <w:tcBorders>
              <w:top w:val="single" w:color="auto" w:sz="12" w:space="0"/>
              <w:left w:val="nil"/>
              <w:bottom w:val="single" w:color="auto" w:sz="12" w:space="0"/>
              <w:right w:val="nil"/>
            </w:tcBorders>
            <w:tcMar>
              <w:top w:w="15" w:type="dxa"/>
              <w:left w:w="15" w:type="dxa"/>
              <w:bottom w:w="54" w:type="dxa"/>
              <w:right w:w="15" w:type="dxa"/>
            </w:tcMar>
            <w:vAlign w:val="center"/>
          </w:tcPr>
          <w:p w14:paraId="7E5DDA2D">
            <w:pPr>
              <w:spacing w:before="0" w:after="0"/>
              <w:jc w:val="center"/>
              <w:rPr>
                <w:rFonts w:hint="default" w:ascii="Times New Roman" w:hAnsi="Times New Roman" w:cs="Times New Roman"/>
                <w:color w:val="auto"/>
                <w:sz w:val="24"/>
                <w:szCs w:val="24"/>
                <w:lang w:eastAsia="zh-CN"/>
              </w:rPr>
            </w:pPr>
            <w:r>
              <w:rPr>
                <w:rFonts w:hint="default" w:ascii="Times New Roman" w:hAnsi="Times New Roman" w:eastAsia="等线" w:cs="Times New Roman"/>
                <w:i/>
                <w:iCs/>
                <w:color w:val="auto"/>
                <w:kern w:val="2"/>
                <w:sz w:val="24"/>
                <w:szCs w:val="24"/>
              </w:rPr>
              <w:t>J</w:t>
            </w:r>
            <w:r>
              <w:rPr>
                <w:rFonts w:hint="default" w:ascii="Times New Roman" w:hAnsi="Times New Roman" w:eastAsia="等线" w:cs="Times New Roman"/>
                <w:color w:val="auto"/>
                <w:kern w:val="2"/>
                <w:position w:val="-7"/>
                <w:sz w:val="24"/>
                <w:szCs w:val="24"/>
                <w:vertAlign w:val="subscript"/>
              </w:rPr>
              <w:t xml:space="preserve">SC </w:t>
            </w:r>
            <w:r>
              <w:rPr>
                <w:rFonts w:hint="default" w:ascii="Times New Roman" w:hAnsi="Times New Roman" w:eastAsia="等线" w:cs="Times New Roman"/>
                <w:color w:val="auto"/>
                <w:kern w:val="2"/>
                <w:sz w:val="24"/>
                <w:szCs w:val="24"/>
              </w:rPr>
              <w:t>[mA cm</w:t>
            </w:r>
            <w:r>
              <w:rPr>
                <w:rFonts w:hint="default" w:ascii="Times New Roman" w:hAnsi="Times New Roman" w:eastAsia="等线" w:cs="Times New Roman"/>
                <w:color w:val="auto"/>
                <w:kern w:val="2"/>
                <w:position w:val="8"/>
                <w:sz w:val="24"/>
                <w:szCs w:val="24"/>
                <w:vertAlign w:val="superscript"/>
              </w:rPr>
              <w:t>-2</w:t>
            </w:r>
            <w:r>
              <w:rPr>
                <w:rFonts w:hint="default" w:ascii="Times New Roman" w:hAnsi="Times New Roman" w:eastAsia="等线" w:cs="Times New Roman"/>
                <w:color w:val="auto"/>
                <w:kern w:val="2"/>
                <w:sz w:val="24"/>
                <w:szCs w:val="24"/>
              </w:rPr>
              <w:t>]</w:t>
            </w:r>
          </w:p>
        </w:tc>
        <w:tc>
          <w:tcPr>
            <w:tcW w:w="1662" w:type="dxa"/>
            <w:tcBorders>
              <w:top w:val="single" w:color="auto" w:sz="12" w:space="0"/>
              <w:left w:val="nil"/>
              <w:bottom w:val="single" w:color="auto" w:sz="12" w:space="0"/>
              <w:right w:val="nil"/>
            </w:tcBorders>
            <w:tcMar>
              <w:top w:w="15" w:type="dxa"/>
              <w:left w:w="15" w:type="dxa"/>
              <w:bottom w:w="54" w:type="dxa"/>
              <w:right w:w="15" w:type="dxa"/>
            </w:tcMar>
            <w:vAlign w:val="center"/>
          </w:tcPr>
          <w:p w14:paraId="7187F019">
            <w:pPr>
              <w:spacing w:before="0" w:after="0"/>
              <w:jc w:val="center"/>
              <w:rPr>
                <w:rFonts w:hint="default" w:ascii="Times New Roman" w:hAnsi="Times New Roman" w:cs="Times New Roman"/>
                <w:color w:val="auto"/>
                <w:sz w:val="24"/>
                <w:szCs w:val="24"/>
                <w:lang w:eastAsia="zh-CN"/>
              </w:rPr>
            </w:pPr>
            <w:r>
              <w:rPr>
                <w:rFonts w:hint="default" w:ascii="Times New Roman" w:hAnsi="Times New Roman" w:eastAsia="等线" w:cs="Times New Roman"/>
                <w:color w:val="auto"/>
                <w:kern w:val="2"/>
                <w:sz w:val="24"/>
                <w:szCs w:val="24"/>
              </w:rPr>
              <w:t>FF [%]</w:t>
            </w:r>
          </w:p>
        </w:tc>
        <w:tc>
          <w:tcPr>
            <w:tcW w:w="1663" w:type="dxa"/>
            <w:tcBorders>
              <w:top w:val="single" w:color="auto" w:sz="12" w:space="0"/>
              <w:left w:val="nil"/>
              <w:bottom w:val="single" w:color="auto" w:sz="12" w:space="0"/>
              <w:right w:val="nil"/>
            </w:tcBorders>
            <w:tcMar>
              <w:top w:w="15" w:type="dxa"/>
              <w:left w:w="15" w:type="dxa"/>
              <w:bottom w:w="54" w:type="dxa"/>
              <w:right w:w="15" w:type="dxa"/>
            </w:tcMar>
            <w:vAlign w:val="center"/>
          </w:tcPr>
          <w:p w14:paraId="0712E3C0">
            <w:pPr>
              <w:spacing w:before="0" w:after="0"/>
              <w:jc w:val="center"/>
              <w:rPr>
                <w:rFonts w:hint="default" w:ascii="Times New Roman" w:hAnsi="Times New Roman" w:cs="Times New Roman"/>
                <w:color w:val="auto"/>
                <w:sz w:val="24"/>
                <w:szCs w:val="24"/>
                <w:lang w:eastAsia="zh-CN"/>
              </w:rPr>
            </w:pPr>
            <w:r>
              <w:rPr>
                <w:rFonts w:hint="default" w:ascii="Times New Roman" w:hAnsi="Times New Roman" w:eastAsia="等线" w:cs="Times New Roman"/>
                <w:color w:val="auto"/>
                <w:kern w:val="2"/>
                <w:sz w:val="24"/>
                <w:szCs w:val="24"/>
              </w:rPr>
              <w:t>PCE</w:t>
            </w:r>
            <w:r>
              <w:rPr>
                <w:rFonts w:hint="default" w:ascii="Times New Roman" w:hAnsi="Times New Roman" w:eastAsia="等线" w:cs="Times New Roman"/>
                <w:color w:val="auto"/>
                <w:kern w:val="2"/>
                <w:position w:val="-7"/>
                <w:sz w:val="24"/>
                <w:szCs w:val="24"/>
                <w:vertAlign w:val="subscript"/>
              </w:rPr>
              <w:t xml:space="preserve"> </w:t>
            </w:r>
            <w:r>
              <w:rPr>
                <w:rFonts w:hint="default" w:ascii="Times New Roman" w:hAnsi="Times New Roman" w:eastAsia="等线" w:cs="Times New Roman"/>
                <w:color w:val="auto"/>
                <w:kern w:val="2"/>
                <w:sz w:val="24"/>
                <w:szCs w:val="24"/>
              </w:rPr>
              <w:t>[%]</w:t>
            </w:r>
          </w:p>
        </w:tc>
      </w:tr>
      <w:tr w14:paraId="6897D469">
        <w:tblPrEx>
          <w:tblCellMar>
            <w:top w:w="0" w:type="dxa"/>
            <w:left w:w="0" w:type="dxa"/>
            <w:bottom w:w="0" w:type="dxa"/>
            <w:right w:w="0" w:type="dxa"/>
          </w:tblCellMar>
        </w:tblPrEx>
        <w:trPr>
          <w:trHeight w:val="118" w:hRule="atLeast"/>
        </w:trPr>
        <w:tc>
          <w:tcPr>
            <w:tcW w:w="1662" w:type="dxa"/>
            <w:tcBorders>
              <w:top w:val="single" w:color="auto" w:sz="12" w:space="0"/>
              <w:left w:val="nil"/>
              <w:right w:val="nil"/>
            </w:tcBorders>
            <w:tcMar>
              <w:top w:w="15" w:type="dxa"/>
              <w:left w:w="15" w:type="dxa"/>
              <w:bottom w:w="54" w:type="dxa"/>
              <w:right w:w="15" w:type="dxa"/>
            </w:tcMar>
            <w:vAlign w:val="center"/>
          </w:tcPr>
          <w:p w14:paraId="7C797EE5">
            <w:pPr>
              <w:spacing w:before="0" w:after="0"/>
              <w:jc w:val="center"/>
              <w:rPr>
                <w:rFonts w:hint="default" w:ascii="Times New Roman" w:hAnsi="Times New Roman" w:cs="Times New Roman"/>
                <w:color w:val="auto"/>
                <w:sz w:val="24"/>
                <w:szCs w:val="24"/>
                <w:lang w:val="en-US" w:eastAsia="zh-CN"/>
              </w:rPr>
            </w:pPr>
            <w:r>
              <w:rPr>
                <w:rFonts w:hint="default" w:ascii="Times New Roman" w:hAnsi="Times New Roman" w:cs="Times New Roman"/>
                <w:color w:val="auto"/>
                <w:sz w:val="24"/>
                <w:szCs w:val="24"/>
                <w:lang w:val="en-US" w:eastAsia="zh-CN"/>
              </w:rPr>
              <w:t>hot-solution (80 ℃)</w:t>
            </w:r>
          </w:p>
        </w:tc>
        <w:tc>
          <w:tcPr>
            <w:tcW w:w="1662" w:type="dxa"/>
            <w:tcBorders>
              <w:top w:val="single" w:color="auto" w:sz="12" w:space="0"/>
              <w:left w:val="nil"/>
              <w:right w:val="nil"/>
            </w:tcBorders>
            <w:tcMar>
              <w:top w:w="55" w:type="dxa"/>
              <w:left w:w="111" w:type="dxa"/>
              <w:bottom w:w="55" w:type="dxa"/>
              <w:right w:w="111" w:type="dxa"/>
            </w:tcMar>
            <w:vAlign w:val="center"/>
          </w:tcPr>
          <w:p w14:paraId="5C061AB0">
            <w:pPr>
              <w:pStyle w:val="7"/>
              <w:keepNext w:val="0"/>
              <w:keepLines w:val="0"/>
              <w:widowControl/>
              <w:suppressLineNumbers w:val="0"/>
              <w:kinsoku/>
              <w:wordWrap/>
              <w:overflowPunct/>
              <w:jc w:val="center"/>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rPr>
              <w:t>0.861</w:t>
            </w:r>
          </w:p>
        </w:tc>
        <w:tc>
          <w:tcPr>
            <w:tcW w:w="1663" w:type="dxa"/>
            <w:tcBorders>
              <w:top w:val="single" w:color="auto" w:sz="12" w:space="0"/>
              <w:left w:val="nil"/>
              <w:right w:val="nil"/>
            </w:tcBorders>
            <w:tcMar>
              <w:top w:w="55" w:type="dxa"/>
              <w:left w:w="111" w:type="dxa"/>
              <w:bottom w:w="55" w:type="dxa"/>
              <w:right w:w="111" w:type="dxa"/>
            </w:tcMar>
            <w:vAlign w:val="center"/>
          </w:tcPr>
          <w:p w14:paraId="713AC9BF">
            <w:pPr>
              <w:pStyle w:val="7"/>
              <w:keepNext w:val="0"/>
              <w:keepLines w:val="0"/>
              <w:widowControl/>
              <w:suppressLineNumbers w:val="0"/>
              <w:kinsoku/>
              <w:wordWrap/>
              <w:overflowPunct/>
              <w:jc w:val="center"/>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rPr>
              <w:t>27.87</w:t>
            </w:r>
          </w:p>
        </w:tc>
        <w:tc>
          <w:tcPr>
            <w:tcW w:w="1662" w:type="dxa"/>
            <w:tcBorders>
              <w:top w:val="single" w:color="auto" w:sz="12" w:space="0"/>
              <w:left w:val="nil"/>
              <w:right w:val="nil"/>
            </w:tcBorders>
            <w:tcMar>
              <w:top w:w="55" w:type="dxa"/>
              <w:left w:w="111" w:type="dxa"/>
              <w:bottom w:w="55" w:type="dxa"/>
              <w:right w:w="111" w:type="dxa"/>
            </w:tcMar>
            <w:vAlign w:val="center"/>
          </w:tcPr>
          <w:p w14:paraId="775A8F3B">
            <w:pPr>
              <w:pStyle w:val="7"/>
              <w:keepNext w:val="0"/>
              <w:keepLines w:val="0"/>
              <w:widowControl/>
              <w:suppressLineNumbers w:val="0"/>
              <w:kinsoku/>
              <w:wordWrap/>
              <w:overflowPunct/>
              <w:jc w:val="center"/>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rPr>
              <w:t>79.75</w:t>
            </w:r>
          </w:p>
        </w:tc>
        <w:tc>
          <w:tcPr>
            <w:tcW w:w="1663" w:type="dxa"/>
            <w:tcBorders>
              <w:top w:val="single" w:color="auto" w:sz="12" w:space="0"/>
              <w:left w:val="nil"/>
              <w:right w:val="nil"/>
            </w:tcBorders>
            <w:tcMar>
              <w:top w:w="55" w:type="dxa"/>
              <w:left w:w="111" w:type="dxa"/>
              <w:bottom w:w="55" w:type="dxa"/>
              <w:right w:w="111" w:type="dxa"/>
            </w:tcMar>
            <w:vAlign w:val="center"/>
          </w:tcPr>
          <w:p w14:paraId="72CE1F68">
            <w:pPr>
              <w:pStyle w:val="7"/>
              <w:keepNext w:val="0"/>
              <w:keepLines w:val="0"/>
              <w:widowControl/>
              <w:suppressLineNumbers w:val="0"/>
              <w:kinsoku/>
              <w:wordWrap/>
              <w:overflowPunct/>
              <w:jc w:val="center"/>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rPr>
              <w:t>19.14</w:t>
            </w:r>
          </w:p>
        </w:tc>
      </w:tr>
      <w:tr w14:paraId="37C80A3A">
        <w:tblPrEx>
          <w:tblCellMar>
            <w:top w:w="0" w:type="dxa"/>
            <w:left w:w="0" w:type="dxa"/>
            <w:bottom w:w="0" w:type="dxa"/>
            <w:right w:w="0" w:type="dxa"/>
          </w:tblCellMar>
        </w:tblPrEx>
        <w:trPr>
          <w:trHeight w:val="261" w:hRule="atLeast"/>
        </w:trPr>
        <w:tc>
          <w:tcPr>
            <w:tcW w:w="1662" w:type="dxa"/>
            <w:tcBorders>
              <w:top w:val="nil"/>
              <w:left w:val="nil"/>
              <w:bottom w:val="single" w:color="auto" w:sz="12" w:space="0"/>
              <w:right w:val="nil"/>
            </w:tcBorders>
            <w:tcMar>
              <w:top w:w="15" w:type="dxa"/>
              <w:left w:w="15" w:type="dxa"/>
              <w:bottom w:w="54" w:type="dxa"/>
              <w:right w:w="15" w:type="dxa"/>
            </w:tcMar>
            <w:vAlign w:val="center"/>
          </w:tcPr>
          <w:p w14:paraId="23BCB542">
            <w:pPr>
              <w:spacing w:before="0" w:after="0"/>
              <w:jc w:val="center"/>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lang w:val="en-US" w:eastAsia="zh-CN"/>
              </w:rPr>
              <w:t xml:space="preserve">hot-solution (80 ℃) &amp; hot-substrate (50 ℃) </w:t>
            </w:r>
          </w:p>
        </w:tc>
        <w:tc>
          <w:tcPr>
            <w:tcW w:w="1662" w:type="dxa"/>
            <w:tcBorders>
              <w:top w:val="nil"/>
              <w:left w:val="nil"/>
              <w:bottom w:val="single" w:color="auto" w:sz="12" w:space="0"/>
              <w:right w:val="nil"/>
            </w:tcBorders>
            <w:tcMar>
              <w:top w:w="55" w:type="dxa"/>
              <w:left w:w="111" w:type="dxa"/>
              <w:bottom w:w="55" w:type="dxa"/>
              <w:right w:w="111" w:type="dxa"/>
            </w:tcMar>
            <w:vAlign w:val="center"/>
          </w:tcPr>
          <w:p w14:paraId="19827B26">
            <w:pPr>
              <w:pStyle w:val="7"/>
              <w:keepNext w:val="0"/>
              <w:keepLines w:val="0"/>
              <w:widowControl/>
              <w:suppressLineNumbers w:val="0"/>
              <w:kinsoku/>
              <w:wordWrap/>
              <w:overflowPunct/>
              <w:jc w:val="center"/>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rPr>
              <w:t>0.862</w:t>
            </w:r>
          </w:p>
        </w:tc>
        <w:tc>
          <w:tcPr>
            <w:tcW w:w="1663" w:type="dxa"/>
            <w:tcBorders>
              <w:top w:val="nil"/>
              <w:left w:val="nil"/>
              <w:bottom w:val="single" w:color="auto" w:sz="12" w:space="0"/>
              <w:right w:val="nil"/>
            </w:tcBorders>
            <w:tcMar>
              <w:top w:w="55" w:type="dxa"/>
              <w:left w:w="111" w:type="dxa"/>
              <w:bottom w:w="55" w:type="dxa"/>
              <w:right w:w="111" w:type="dxa"/>
            </w:tcMar>
            <w:vAlign w:val="center"/>
          </w:tcPr>
          <w:p w14:paraId="3DBB0FEF">
            <w:pPr>
              <w:pStyle w:val="7"/>
              <w:keepNext w:val="0"/>
              <w:keepLines w:val="0"/>
              <w:widowControl/>
              <w:suppressLineNumbers w:val="0"/>
              <w:kinsoku/>
              <w:wordWrap/>
              <w:overflowPunct/>
              <w:jc w:val="center"/>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rPr>
              <w:t>26.62</w:t>
            </w:r>
          </w:p>
        </w:tc>
        <w:tc>
          <w:tcPr>
            <w:tcW w:w="1662" w:type="dxa"/>
            <w:tcBorders>
              <w:top w:val="nil"/>
              <w:left w:val="nil"/>
              <w:bottom w:val="single" w:color="auto" w:sz="12" w:space="0"/>
              <w:right w:val="nil"/>
            </w:tcBorders>
            <w:tcMar>
              <w:top w:w="55" w:type="dxa"/>
              <w:left w:w="111" w:type="dxa"/>
              <w:bottom w:w="55" w:type="dxa"/>
              <w:right w:w="111" w:type="dxa"/>
            </w:tcMar>
            <w:vAlign w:val="center"/>
          </w:tcPr>
          <w:p w14:paraId="4C5F2754">
            <w:pPr>
              <w:pStyle w:val="7"/>
              <w:keepNext w:val="0"/>
              <w:keepLines w:val="0"/>
              <w:widowControl/>
              <w:suppressLineNumbers w:val="0"/>
              <w:kinsoku/>
              <w:wordWrap/>
              <w:overflowPunct/>
              <w:jc w:val="center"/>
              <w:rPr>
                <w:rFonts w:hint="eastAsia" w:ascii="Times New Roman" w:hAnsi="Times New Roman" w:eastAsia="宋体" w:cs="Times New Roman"/>
                <w:color w:val="auto"/>
                <w:sz w:val="24"/>
                <w:szCs w:val="24"/>
                <w:lang w:val="en-US" w:eastAsia="zh-CN"/>
              </w:rPr>
            </w:pPr>
            <w:r>
              <w:rPr>
                <w:rFonts w:hint="default" w:ascii="Times New Roman" w:hAnsi="Times New Roman" w:cs="Times New Roman"/>
                <w:color w:val="auto"/>
                <w:sz w:val="24"/>
                <w:szCs w:val="24"/>
              </w:rPr>
              <w:t>79.8</w:t>
            </w:r>
            <w:r>
              <w:rPr>
                <w:rFonts w:hint="eastAsia" w:ascii="Times New Roman" w:hAnsi="Times New Roman" w:cs="Times New Roman"/>
                <w:color w:val="auto"/>
                <w:sz w:val="24"/>
                <w:szCs w:val="24"/>
                <w:lang w:val="en-US" w:eastAsia="zh-CN"/>
              </w:rPr>
              <w:t>0</w:t>
            </w:r>
          </w:p>
        </w:tc>
        <w:tc>
          <w:tcPr>
            <w:tcW w:w="1663" w:type="dxa"/>
            <w:tcBorders>
              <w:top w:val="nil"/>
              <w:left w:val="nil"/>
              <w:bottom w:val="single" w:color="auto" w:sz="12" w:space="0"/>
              <w:right w:val="nil"/>
            </w:tcBorders>
            <w:tcMar>
              <w:top w:w="55" w:type="dxa"/>
              <w:left w:w="111" w:type="dxa"/>
              <w:bottom w:w="55" w:type="dxa"/>
              <w:right w:w="111" w:type="dxa"/>
            </w:tcMar>
            <w:vAlign w:val="center"/>
          </w:tcPr>
          <w:p w14:paraId="0ABAB540">
            <w:pPr>
              <w:pStyle w:val="7"/>
              <w:keepNext w:val="0"/>
              <w:keepLines w:val="0"/>
              <w:widowControl/>
              <w:suppressLineNumbers w:val="0"/>
              <w:kinsoku/>
              <w:wordWrap/>
              <w:overflowPunct/>
              <w:jc w:val="center"/>
              <w:rPr>
                <w:rFonts w:hint="eastAsia" w:ascii="Times New Roman" w:hAnsi="Times New Roman" w:eastAsia="宋体" w:cs="Times New Roman"/>
                <w:color w:val="auto"/>
                <w:sz w:val="24"/>
                <w:szCs w:val="24"/>
                <w:lang w:val="en-US" w:eastAsia="zh-CN"/>
              </w:rPr>
            </w:pPr>
            <w:r>
              <w:rPr>
                <w:rFonts w:hint="default" w:ascii="Times New Roman" w:hAnsi="Times New Roman" w:cs="Times New Roman"/>
                <w:color w:val="auto"/>
                <w:sz w:val="24"/>
                <w:szCs w:val="24"/>
              </w:rPr>
              <w:t>18.3</w:t>
            </w:r>
            <w:r>
              <w:rPr>
                <w:rFonts w:hint="eastAsia" w:ascii="Times New Roman" w:hAnsi="Times New Roman" w:cs="Times New Roman"/>
                <w:color w:val="auto"/>
                <w:sz w:val="24"/>
                <w:szCs w:val="24"/>
                <w:lang w:val="en-US" w:eastAsia="zh-CN"/>
              </w:rPr>
              <w:t>1</w:t>
            </w:r>
          </w:p>
        </w:tc>
      </w:tr>
    </w:tbl>
    <w:p w14:paraId="04F89B98">
      <w:pPr>
        <w:spacing w:line="360" w:lineRule="auto"/>
        <w:rPr>
          <w:rFonts w:hint="eastAsia" w:ascii="Times New Roman" w:hAnsi="Times New Roman" w:cs="Times New Roman"/>
          <w:color w:val="auto"/>
          <w:sz w:val="24"/>
          <w:szCs w:val="24"/>
        </w:rPr>
      </w:pPr>
    </w:p>
    <w:p w14:paraId="03C7B10A">
      <w:pPr>
        <w:spacing w:line="360" w:lineRule="auto"/>
        <w:rPr>
          <w:rFonts w:hint="eastAsia" w:ascii="Times New Roman" w:hAnsi="Times New Roman" w:cs="Times New Roman"/>
          <w:color w:val="auto"/>
          <w:sz w:val="24"/>
          <w:szCs w:val="24"/>
        </w:rPr>
      </w:pPr>
    </w:p>
    <w:p w14:paraId="23EF732E">
      <w:pPr>
        <w:spacing w:line="360" w:lineRule="auto"/>
        <w:rPr>
          <w:rFonts w:hint="eastAsia" w:ascii="Times New Roman" w:hAnsi="Times New Roman" w:cs="Times New Roman"/>
          <w:color w:val="auto"/>
          <w:sz w:val="24"/>
          <w:szCs w:val="24"/>
        </w:rPr>
      </w:pPr>
    </w:p>
    <w:p w14:paraId="1508AE52">
      <w:pPr>
        <w:spacing w:line="360" w:lineRule="auto"/>
        <w:rPr>
          <w:rFonts w:hint="eastAsia" w:ascii="Times New Roman" w:hAnsi="Times New Roman" w:cs="Times New Roman"/>
          <w:color w:val="auto"/>
          <w:sz w:val="24"/>
          <w:szCs w:val="24"/>
        </w:rPr>
      </w:pPr>
    </w:p>
    <w:p w14:paraId="5F15A1C7">
      <w:pPr>
        <w:spacing w:line="360" w:lineRule="auto"/>
        <w:rPr>
          <w:rFonts w:hint="eastAsia" w:ascii="Times New Roman" w:hAnsi="Times New Roman" w:cs="Times New Roman"/>
          <w:color w:val="auto"/>
          <w:sz w:val="24"/>
          <w:szCs w:val="24"/>
        </w:rPr>
      </w:pPr>
    </w:p>
    <w:p w14:paraId="1FC1AD26">
      <w:pPr>
        <w:spacing w:line="360" w:lineRule="auto"/>
        <w:rPr>
          <w:rFonts w:hint="eastAsia" w:ascii="Times New Roman" w:hAnsi="Times New Roman" w:cs="Times New Roman"/>
          <w:color w:val="auto"/>
          <w:sz w:val="24"/>
          <w:szCs w:val="24"/>
        </w:rPr>
      </w:pPr>
    </w:p>
    <w:p w14:paraId="5B02A072">
      <w:pPr>
        <w:spacing w:line="360" w:lineRule="auto"/>
        <w:rPr>
          <w:rFonts w:hint="eastAsia" w:ascii="Times New Roman" w:hAnsi="Times New Roman" w:cs="Times New Roman"/>
          <w:color w:val="auto"/>
          <w:sz w:val="24"/>
          <w:szCs w:val="24"/>
        </w:rPr>
      </w:pPr>
    </w:p>
    <w:p w14:paraId="0A0B4103">
      <w:pPr>
        <w:spacing w:line="360" w:lineRule="auto"/>
        <w:rPr>
          <w:rFonts w:ascii="Times New Roman" w:hAnsi="Times New Roman" w:cs="Times New Roman"/>
          <w:color w:val="auto"/>
          <w:sz w:val="24"/>
          <w:szCs w:val="24"/>
        </w:rPr>
      </w:pPr>
    </w:p>
    <w:p w14:paraId="6CC9B5C7">
      <w:pPr>
        <w:spacing w:line="360" w:lineRule="auto"/>
        <w:jc w:val="center"/>
        <w:rPr>
          <w:rFonts w:ascii="Times New Roman" w:hAnsi="Times New Roman" w:cs="Times New Roman"/>
          <w:color w:val="auto"/>
          <w:sz w:val="24"/>
          <w:szCs w:val="24"/>
        </w:rPr>
      </w:pPr>
      <w:r>
        <w:rPr>
          <w:rFonts w:hint="eastAsia" w:ascii="Times New Roman" w:hAnsi="Times New Roman" w:cs="Times New Roman"/>
          <w:color w:val="auto"/>
          <w:sz w:val="24"/>
          <w:szCs w:val="24"/>
        </w:rPr>
        <w:drawing>
          <wp:inline distT="0" distB="0" distL="114300" distR="114300">
            <wp:extent cx="3239770" cy="2700020"/>
            <wp:effectExtent l="0" t="0" r="11430" b="5080"/>
            <wp:docPr id="11" name="图片 11" descr="1753175706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53175706437"/>
                    <pic:cNvPicPr>
                      <a:picLocks noChangeAspect="1"/>
                    </pic:cNvPicPr>
                  </pic:nvPicPr>
                  <pic:blipFill>
                    <a:blip r:embed="rId26"/>
                    <a:stretch>
                      <a:fillRect/>
                    </a:stretch>
                  </pic:blipFill>
                  <pic:spPr>
                    <a:xfrm>
                      <a:off x="0" y="0"/>
                      <a:ext cx="3239770" cy="2700020"/>
                    </a:xfrm>
                    <a:prstGeom prst="rect">
                      <a:avLst/>
                    </a:prstGeom>
                  </pic:spPr>
                </pic:pic>
              </a:graphicData>
            </a:graphic>
          </wp:inline>
        </w:drawing>
      </w:r>
    </w:p>
    <w:p w14:paraId="114F7B26">
      <w:pPr>
        <w:spacing w:line="360" w:lineRule="auto"/>
        <w:rPr>
          <w:rFonts w:hint="eastAsia"/>
          <w:color w:val="auto"/>
        </w:rPr>
      </w:pPr>
      <w:r>
        <w:rPr>
          <w:rFonts w:ascii="Times New Roman" w:hAnsi="Times New Roman" w:cs="Times New Roman"/>
          <w:b/>
          <w:bCs/>
          <w:color w:val="auto"/>
          <w:sz w:val="24"/>
          <w:szCs w:val="24"/>
        </w:rPr>
        <w:t>Figure S</w:t>
      </w:r>
      <w:r>
        <w:rPr>
          <w:rFonts w:hint="eastAsia" w:ascii="Times New Roman" w:hAnsi="Times New Roman" w:cs="Times New Roman"/>
          <w:b/>
          <w:bCs/>
          <w:color w:val="auto"/>
          <w:sz w:val="24"/>
          <w:szCs w:val="24"/>
        </w:rPr>
        <w:t>2</w:t>
      </w:r>
      <w:r>
        <w:rPr>
          <w:rFonts w:hint="eastAsia" w:ascii="Times New Roman" w:hAnsi="Times New Roman" w:cs="Times New Roman"/>
          <w:b/>
          <w:bCs/>
          <w:color w:val="auto"/>
          <w:sz w:val="24"/>
          <w:szCs w:val="24"/>
          <w:lang w:val="en-US" w:eastAsia="zh-CN"/>
        </w:rPr>
        <w:t>3</w:t>
      </w:r>
      <w:r>
        <w:rPr>
          <w:rFonts w:ascii="Times New Roman" w:hAnsi="Times New Roman" w:eastAsia="宋体" w:cs="Times New Roman"/>
          <w:b/>
          <w:bCs/>
          <w:color w:val="auto"/>
          <w:sz w:val="24"/>
          <w:szCs w:val="24"/>
        </w:rPr>
        <w:t>.</w:t>
      </w:r>
      <w:r>
        <w:rPr>
          <w:rFonts w:ascii="Times New Roman" w:hAnsi="Times New Roman" w:cs="Times New Roman"/>
          <w:color w:val="auto"/>
          <w:sz w:val="24"/>
          <w:szCs w:val="24"/>
        </w:rPr>
        <w:t xml:space="preserve"> </w:t>
      </w:r>
      <w:r>
        <w:rPr>
          <w:rFonts w:ascii="Times New Roman" w:hAnsi="Times New Roman" w:cs="Times New Roman"/>
          <w:i/>
          <w:iCs/>
          <w:color w:val="auto"/>
          <w:sz w:val="24"/>
          <w:szCs w:val="24"/>
        </w:rPr>
        <w:t>J</w:t>
      </w:r>
      <w:r>
        <w:rPr>
          <w:rFonts w:ascii="Times New Roman" w:hAnsi="Times New Roman" w:cs="Times New Roman"/>
          <w:color w:val="auto"/>
          <w:sz w:val="24"/>
          <w:szCs w:val="24"/>
          <w:vertAlign w:val="subscript"/>
        </w:rPr>
        <w:t>SC</w:t>
      </w:r>
      <w:r>
        <w:rPr>
          <w:rFonts w:ascii="Times New Roman" w:hAnsi="Times New Roman" w:cs="Times New Roman"/>
          <w:color w:val="auto"/>
          <w:sz w:val="24"/>
          <w:szCs w:val="24"/>
        </w:rPr>
        <w:t xml:space="preserve"> versus illumination intensity</w:t>
      </w:r>
      <w:r>
        <w:rPr>
          <w:rFonts w:hint="eastAsia" w:ascii="Times New Roman" w:hAnsi="Times New Roman" w:cs="Times New Roman"/>
          <w:color w:val="auto"/>
          <w:sz w:val="24"/>
          <w:szCs w:val="24"/>
        </w:rPr>
        <w:t xml:space="preserve"> relationship of </w:t>
      </w:r>
      <w:r>
        <w:rPr>
          <w:rFonts w:ascii="Times New Roman" w:hAnsi="Times New Roman" w:cs="Times New Roman"/>
          <w:color w:val="auto"/>
          <w:sz w:val="24"/>
          <w:szCs w:val="24"/>
        </w:rPr>
        <w:t>pristine SqP devices and HS-treated D18/eC9 OSCs.</w:t>
      </w:r>
    </w:p>
    <w:p w14:paraId="31340AFE">
      <w:pPr>
        <w:spacing w:line="360" w:lineRule="auto"/>
        <w:rPr>
          <w:rFonts w:ascii="Times New Roman" w:hAnsi="Times New Roman" w:cs="Times New Roman"/>
          <w:color w:val="auto"/>
          <w:sz w:val="24"/>
          <w:szCs w:val="24"/>
        </w:rPr>
      </w:pPr>
    </w:p>
    <w:p w14:paraId="34966FDE">
      <w:pPr>
        <w:spacing w:line="360" w:lineRule="auto"/>
        <w:jc w:val="center"/>
        <w:rPr>
          <w:rFonts w:ascii="Times New Roman" w:hAnsi="Times New Roman" w:cs="Times New Roman"/>
          <w:color w:val="auto"/>
          <w:sz w:val="24"/>
          <w:szCs w:val="24"/>
        </w:rPr>
      </w:pPr>
      <w:r>
        <w:rPr>
          <w:rFonts w:hint="eastAsia" w:ascii="Times New Roman" w:hAnsi="Times New Roman" w:cs="Times New Roman"/>
          <w:color w:val="auto"/>
          <w:sz w:val="24"/>
          <w:szCs w:val="24"/>
        </w:rPr>
        <w:drawing>
          <wp:inline distT="0" distB="0" distL="114300" distR="114300">
            <wp:extent cx="3239770" cy="2559685"/>
            <wp:effectExtent l="0" t="0" r="11430" b="5715"/>
            <wp:docPr id="12" name="图片 12" descr="1753175978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753175978929"/>
                    <pic:cNvPicPr>
                      <a:picLocks noChangeAspect="1"/>
                    </pic:cNvPicPr>
                  </pic:nvPicPr>
                  <pic:blipFill>
                    <a:blip r:embed="rId27"/>
                    <a:stretch>
                      <a:fillRect/>
                    </a:stretch>
                  </pic:blipFill>
                  <pic:spPr>
                    <a:xfrm>
                      <a:off x="0" y="0"/>
                      <a:ext cx="3239770" cy="2559685"/>
                    </a:xfrm>
                    <a:prstGeom prst="rect">
                      <a:avLst/>
                    </a:prstGeom>
                  </pic:spPr>
                </pic:pic>
              </a:graphicData>
            </a:graphic>
          </wp:inline>
        </w:drawing>
      </w:r>
    </w:p>
    <w:p w14:paraId="0A4E56F7">
      <w:pPr>
        <w:spacing w:line="360" w:lineRule="auto"/>
        <w:rPr>
          <w:rFonts w:hint="eastAsia"/>
          <w:color w:val="auto"/>
        </w:rPr>
      </w:pPr>
      <w:r>
        <w:rPr>
          <w:rFonts w:ascii="Times New Roman" w:hAnsi="Times New Roman" w:cs="Times New Roman"/>
          <w:b/>
          <w:bCs/>
          <w:color w:val="auto"/>
          <w:sz w:val="24"/>
          <w:szCs w:val="24"/>
        </w:rPr>
        <w:t>Figure S</w:t>
      </w:r>
      <w:r>
        <w:rPr>
          <w:rFonts w:hint="eastAsia" w:ascii="Times New Roman" w:hAnsi="Times New Roman" w:cs="Times New Roman"/>
          <w:b/>
          <w:bCs/>
          <w:color w:val="auto"/>
          <w:sz w:val="24"/>
          <w:szCs w:val="24"/>
        </w:rPr>
        <w:t>2</w:t>
      </w:r>
      <w:r>
        <w:rPr>
          <w:rFonts w:hint="eastAsia" w:ascii="Times New Roman" w:hAnsi="Times New Roman" w:cs="Times New Roman"/>
          <w:b/>
          <w:bCs/>
          <w:color w:val="auto"/>
          <w:sz w:val="24"/>
          <w:szCs w:val="24"/>
          <w:lang w:val="en-US" w:eastAsia="zh-CN"/>
        </w:rPr>
        <w:t>4</w:t>
      </w:r>
      <w:r>
        <w:rPr>
          <w:rFonts w:ascii="Times New Roman" w:hAnsi="Times New Roman" w:eastAsia="宋体" w:cs="Times New Roman"/>
          <w:b/>
          <w:bCs/>
          <w:color w:val="auto"/>
          <w:sz w:val="24"/>
          <w:szCs w:val="24"/>
        </w:rPr>
        <w:t>.</w:t>
      </w:r>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Dark current curves of D18/eC9 and D18 HS/eC9 devices.</w:t>
      </w:r>
    </w:p>
    <w:p w14:paraId="7A6B07DC">
      <w:pPr>
        <w:spacing w:line="360" w:lineRule="auto"/>
        <w:jc w:val="center"/>
        <w:rPr>
          <w:rFonts w:ascii="Times New Roman" w:hAnsi="Times New Roman" w:cs="Times New Roman"/>
          <w:color w:val="auto"/>
          <w:sz w:val="24"/>
          <w:szCs w:val="24"/>
        </w:rPr>
      </w:pPr>
    </w:p>
    <w:p w14:paraId="771983B8">
      <w:pPr>
        <w:spacing w:line="360" w:lineRule="auto"/>
        <w:jc w:val="center"/>
        <w:rPr>
          <w:rFonts w:ascii="Times New Roman" w:hAnsi="Times New Roman" w:cs="Times New Roman"/>
          <w:color w:val="auto"/>
          <w:sz w:val="24"/>
          <w:szCs w:val="24"/>
        </w:rPr>
      </w:pPr>
    </w:p>
    <w:p w14:paraId="28DF3357">
      <w:pPr>
        <w:spacing w:line="360" w:lineRule="auto"/>
        <w:jc w:val="center"/>
        <w:rPr>
          <w:rFonts w:ascii="Times New Roman" w:hAnsi="Times New Roman" w:cs="Times New Roman"/>
          <w:color w:val="auto"/>
          <w:sz w:val="24"/>
          <w:szCs w:val="24"/>
        </w:rPr>
      </w:pPr>
    </w:p>
    <w:p w14:paraId="15C15013">
      <w:pPr>
        <w:autoSpaceDE w:val="0"/>
        <w:autoSpaceDN w:val="0"/>
        <w:adjustRightInd w:val="0"/>
        <w:spacing w:line="360" w:lineRule="auto"/>
        <w:jc w:val="center"/>
        <w:rPr>
          <w:rFonts w:ascii="Times New Roman" w:hAnsi="Times New Roman" w:cs="Times New Roman"/>
          <w:color w:val="auto"/>
          <w:kern w:val="0"/>
          <w:sz w:val="24"/>
          <w:szCs w:val="24"/>
        </w:rPr>
      </w:pPr>
    </w:p>
    <w:p w14:paraId="3429969C">
      <w:pPr>
        <w:autoSpaceDE w:val="0"/>
        <w:autoSpaceDN w:val="0"/>
        <w:adjustRightInd w:val="0"/>
        <w:spacing w:line="360" w:lineRule="auto"/>
        <w:jc w:val="center"/>
        <w:rPr>
          <w:rFonts w:ascii="Times New Roman" w:hAnsi="Times New Roman" w:cs="Times New Roman"/>
          <w:color w:val="auto"/>
          <w:kern w:val="0"/>
          <w:sz w:val="24"/>
          <w:szCs w:val="24"/>
        </w:rPr>
      </w:pPr>
      <w:r>
        <w:rPr>
          <w:color w:val="auto"/>
        </w:rPr>
        <w:drawing>
          <wp:inline distT="0" distB="0" distL="0" distR="0">
            <wp:extent cx="2362835" cy="1305560"/>
            <wp:effectExtent l="0" t="0" r="0" b="8890"/>
            <wp:docPr id="1781547120" name="图片 1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547120" name="图片 12" descr="图示&#10;&#10;AI 生成的内容可能不正确。"/>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362835" cy="1305560"/>
                    </a:xfrm>
                    <a:prstGeom prst="rect">
                      <a:avLst/>
                    </a:prstGeom>
                    <a:noFill/>
                    <a:ln>
                      <a:noFill/>
                    </a:ln>
                  </pic:spPr>
                </pic:pic>
              </a:graphicData>
            </a:graphic>
          </wp:inline>
        </w:drawing>
      </w:r>
    </w:p>
    <w:p w14:paraId="3A83B0DE">
      <w:pPr>
        <w:widowControl/>
        <w:spacing w:line="360" w:lineRule="auto"/>
        <w:rPr>
          <w:rFonts w:ascii="Times New Roman" w:hAnsi="Times New Roman" w:cs="Times New Roman"/>
          <w:color w:val="auto"/>
          <w:kern w:val="0"/>
          <w:sz w:val="24"/>
          <w:szCs w:val="24"/>
          <w:lang w:val="de-DE"/>
        </w:rPr>
      </w:pPr>
      <w:r>
        <w:rPr>
          <w:rFonts w:ascii="Times New Roman" w:hAnsi="Times New Roman" w:eastAsia="MS Mincho" w:cs="Times New Roman"/>
          <w:b/>
          <w:bCs/>
          <w:color w:val="auto"/>
          <w:kern w:val="0"/>
          <w:sz w:val="24"/>
          <w:szCs w:val="24"/>
          <w:lang w:eastAsia="ja-JP"/>
        </w:rPr>
        <w:t>Figure S</w:t>
      </w:r>
      <w:r>
        <w:rPr>
          <w:rFonts w:hint="eastAsia" w:ascii="Times New Roman" w:hAnsi="Times New Roman" w:eastAsia="宋体" w:cs="Times New Roman"/>
          <w:b/>
          <w:bCs/>
          <w:color w:val="auto"/>
          <w:kern w:val="0"/>
          <w:sz w:val="24"/>
          <w:szCs w:val="24"/>
        </w:rPr>
        <w:t>2</w:t>
      </w:r>
      <w:r>
        <w:rPr>
          <w:rFonts w:hint="eastAsia" w:ascii="Times New Roman" w:hAnsi="Times New Roman" w:eastAsia="宋体" w:cs="Times New Roman"/>
          <w:b/>
          <w:bCs/>
          <w:color w:val="auto"/>
          <w:kern w:val="0"/>
          <w:sz w:val="24"/>
          <w:szCs w:val="24"/>
          <w:lang w:val="en-US" w:eastAsia="zh-CN"/>
        </w:rPr>
        <w:t>5</w:t>
      </w:r>
      <w:r>
        <w:rPr>
          <w:rFonts w:ascii="Times New Roman" w:hAnsi="Times New Roman" w:eastAsia="宋体" w:cs="Times New Roman"/>
          <w:b/>
          <w:bCs/>
          <w:color w:val="auto"/>
          <w:kern w:val="0"/>
          <w:sz w:val="24"/>
          <w:szCs w:val="24"/>
        </w:rPr>
        <w:t>.</w:t>
      </w:r>
      <w:r>
        <w:rPr>
          <w:rFonts w:hint="eastAsia" w:ascii="Times New Roman" w:hAnsi="Times New Roman" w:eastAsia="宋体" w:cs="Times New Roman"/>
          <w:b/>
          <w:bCs/>
          <w:color w:val="auto"/>
          <w:kern w:val="0"/>
          <w:sz w:val="24"/>
          <w:szCs w:val="24"/>
        </w:rPr>
        <w:t xml:space="preserve"> </w:t>
      </w:r>
      <w:r>
        <w:rPr>
          <w:rFonts w:hint="eastAsia" w:ascii="Times New Roman" w:hAnsi="Times New Roman" w:eastAsia="宋体" w:cs="Times New Roman"/>
          <w:color w:val="auto"/>
          <w:kern w:val="0"/>
          <w:sz w:val="24"/>
          <w:szCs w:val="24"/>
        </w:rPr>
        <w:t>T</w:t>
      </w:r>
      <w:r>
        <w:rPr>
          <w:rFonts w:ascii="Times New Roman" w:hAnsi="Times New Roman" w:eastAsia="宋体" w:cs="Times New Roman"/>
          <w:color w:val="auto"/>
          <w:kern w:val="0"/>
          <w:sz w:val="24"/>
          <w:szCs w:val="24"/>
        </w:rPr>
        <w:t>he equivalent circuit</w:t>
      </w:r>
      <w:r>
        <w:rPr>
          <w:rFonts w:hint="eastAsia" w:ascii="Times New Roman" w:hAnsi="Times New Roman" w:eastAsia="宋体" w:cs="Times New Roman"/>
          <w:color w:val="auto"/>
          <w:kern w:val="0"/>
          <w:sz w:val="24"/>
          <w:szCs w:val="24"/>
        </w:rPr>
        <w:t xml:space="preserve"> for fitting </w:t>
      </w:r>
      <w:r>
        <w:rPr>
          <w:rFonts w:ascii="Times New Roman" w:hAnsi="Times New Roman" w:eastAsia="MS Mincho" w:cs="Times New Roman"/>
          <w:color w:val="auto"/>
          <w:kern w:val="0"/>
          <w:sz w:val="24"/>
          <w:szCs w:val="24"/>
          <w:lang w:val="de-DE" w:eastAsia="ja-JP"/>
        </w:rPr>
        <w:t>impedance spectroscopy</w:t>
      </w:r>
      <w:r>
        <w:rPr>
          <w:rFonts w:hint="eastAsia" w:ascii="Times New Roman" w:hAnsi="Times New Roman" w:cs="Times New Roman"/>
          <w:color w:val="auto"/>
          <w:kern w:val="0"/>
          <w:sz w:val="24"/>
          <w:szCs w:val="24"/>
          <w:lang w:val="de-DE"/>
        </w:rPr>
        <w:t>.</w:t>
      </w:r>
      <w:r>
        <w:rPr>
          <w:color w:val="auto"/>
        </w:rPr>
        <w:t xml:space="preserve"> </w:t>
      </w:r>
      <w:r>
        <w:rPr>
          <w:rFonts w:ascii="Times New Roman" w:hAnsi="Times New Roman" w:cs="Times New Roman"/>
          <w:color w:val="auto"/>
          <w:kern w:val="0"/>
          <w:sz w:val="24"/>
          <w:szCs w:val="24"/>
          <w:lang w:val="de-DE"/>
        </w:rPr>
        <w:t>R</w:t>
      </w:r>
      <w:r>
        <w:rPr>
          <w:rFonts w:ascii="Times New Roman" w:hAnsi="Times New Roman" w:cs="Times New Roman"/>
          <w:color w:val="auto"/>
          <w:kern w:val="0"/>
          <w:sz w:val="24"/>
          <w:szCs w:val="24"/>
          <w:vertAlign w:val="subscript"/>
          <w:lang w:val="de-DE"/>
        </w:rPr>
        <w:t>s</w:t>
      </w:r>
      <w:r>
        <w:rPr>
          <w:rFonts w:ascii="Times New Roman" w:hAnsi="Times New Roman" w:cs="Times New Roman"/>
          <w:color w:val="auto"/>
          <w:kern w:val="0"/>
          <w:sz w:val="24"/>
          <w:szCs w:val="24"/>
          <w:lang w:val="de-DE"/>
        </w:rPr>
        <w:t xml:space="preserve"> corresponds to the electrode resistance including ITO and Ag. Parallel</w:t>
      </w:r>
      <w:r>
        <w:rPr>
          <w:rFonts w:hint="eastAsia" w:ascii="Times New Roman" w:hAnsi="Times New Roman" w:cs="Times New Roman"/>
          <w:color w:val="auto"/>
          <w:kern w:val="0"/>
          <w:sz w:val="24"/>
          <w:szCs w:val="24"/>
          <w:lang w:val="de-DE"/>
        </w:rPr>
        <w:t xml:space="preserve"> </w:t>
      </w:r>
      <w:r>
        <w:rPr>
          <w:rFonts w:ascii="Times New Roman" w:hAnsi="Times New Roman" w:cs="Times New Roman"/>
          <w:color w:val="auto"/>
          <w:kern w:val="0"/>
          <w:sz w:val="24"/>
          <w:szCs w:val="24"/>
          <w:lang w:val="de-DE"/>
        </w:rPr>
        <w:t>R</w:t>
      </w:r>
      <w:r>
        <w:rPr>
          <w:rFonts w:hint="eastAsia" w:ascii="Times New Roman" w:hAnsi="Times New Roman" w:cs="Times New Roman"/>
          <w:color w:val="auto"/>
          <w:kern w:val="0"/>
          <w:sz w:val="24"/>
          <w:szCs w:val="24"/>
          <w:vertAlign w:val="subscript"/>
          <w:lang w:val="de-DE"/>
        </w:rPr>
        <w:t>1</w:t>
      </w:r>
      <w:r>
        <w:rPr>
          <w:rFonts w:ascii="Times New Roman" w:hAnsi="Times New Roman" w:cs="Times New Roman"/>
          <w:color w:val="auto"/>
          <w:kern w:val="0"/>
          <w:sz w:val="24"/>
          <w:szCs w:val="24"/>
          <w:lang w:val="de-DE"/>
        </w:rPr>
        <w:t xml:space="preserve"> and C</w:t>
      </w:r>
      <w:r>
        <w:rPr>
          <w:rFonts w:hint="eastAsia" w:ascii="Times New Roman" w:hAnsi="Times New Roman" w:cs="Times New Roman"/>
          <w:color w:val="auto"/>
          <w:kern w:val="0"/>
          <w:sz w:val="24"/>
          <w:szCs w:val="24"/>
          <w:vertAlign w:val="subscript"/>
          <w:lang w:val="de-DE"/>
        </w:rPr>
        <w:t>1</w:t>
      </w:r>
      <w:r>
        <w:rPr>
          <w:rFonts w:ascii="Times New Roman" w:hAnsi="Times New Roman" w:cs="Times New Roman"/>
          <w:color w:val="auto"/>
          <w:kern w:val="0"/>
          <w:sz w:val="24"/>
          <w:szCs w:val="24"/>
          <w:lang w:val="de-DE"/>
        </w:rPr>
        <w:t xml:space="preserve"> correspond to the bulk resistance and capacitance of the </w:t>
      </w:r>
      <w:r>
        <w:rPr>
          <w:rFonts w:hint="eastAsia" w:ascii="Times New Roman" w:hAnsi="Times New Roman" w:cs="Times New Roman"/>
          <w:color w:val="auto"/>
          <w:kern w:val="0"/>
          <w:sz w:val="24"/>
          <w:szCs w:val="24"/>
          <w:lang w:val="de-DE"/>
        </w:rPr>
        <w:t>active</w:t>
      </w:r>
      <w:r>
        <w:rPr>
          <w:rFonts w:ascii="Times New Roman" w:hAnsi="Times New Roman" w:cs="Times New Roman"/>
          <w:color w:val="auto"/>
          <w:kern w:val="0"/>
          <w:sz w:val="24"/>
          <w:szCs w:val="24"/>
          <w:lang w:val="de-DE"/>
        </w:rPr>
        <w:t xml:space="preserve"> layer</w:t>
      </w:r>
      <w:r>
        <w:rPr>
          <w:rFonts w:hint="eastAsia" w:ascii="Times New Roman" w:hAnsi="Times New Roman" w:cs="Times New Roman"/>
          <w:color w:val="auto"/>
          <w:kern w:val="0"/>
          <w:sz w:val="24"/>
          <w:szCs w:val="24"/>
          <w:lang w:val="de-DE"/>
        </w:rPr>
        <w:t xml:space="preserve">. </w:t>
      </w:r>
      <w:r>
        <w:rPr>
          <w:rFonts w:ascii="Times New Roman" w:hAnsi="Times New Roman" w:cs="Times New Roman"/>
          <w:color w:val="auto"/>
          <w:kern w:val="0"/>
          <w:sz w:val="24"/>
          <w:szCs w:val="24"/>
          <w:lang w:val="de-DE"/>
        </w:rPr>
        <w:t>Parallel R</w:t>
      </w:r>
      <w:r>
        <w:rPr>
          <w:rFonts w:hint="eastAsia" w:ascii="Times New Roman" w:hAnsi="Times New Roman" w:cs="Times New Roman"/>
          <w:color w:val="auto"/>
          <w:kern w:val="0"/>
          <w:sz w:val="24"/>
          <w:szCs w:val="24"/>
          <w:vertAlign w:val="subscript"/>
          <w:lang w:val="de-DE"/>
        </w:rPr>
        <w:t>2</w:t>
      </w:r>
      <w:r>
        <w:rPr>
          <w:rFonts w:ascii="Times New Roman" w:hAnsi="Times New Roman" w:cs="Times New Roman"/>
          <w:color w:val="auto"/>
          <w:kern w:val="0"/>
          <w:sz w:val="24"/>
          <w:szCs w:val="24"/>
          <w:lang w:val="de-DE"/>
        </w:rPr>
        <w:t xml:space="preserve"> and C</w:t>
      </w:r>
      <w:r>
        <w:rPr>
          <w:rFonts w:hint="eastAsia" w:ascii="Times New Roman" w:hAnsi="Times New Roman" w:cs="Times New Roman"/>
          <w:color w:val="auto"/>
          <w:kern w:val="0"/>
          <w:sz w:val="24"/>
          <w:szCs w:val="24"/>
          <w:vertAlign w:val="subscript"/>
          <w:lang w:val="de-DE"/>
        </w:rPr>
        <w:t>2</w:t>
      </w:r>
      <w:r>
        <w:rPr>
          <w:rFonts w:hint="eastAsia" w:ascii="Times New Roman" w:hAnsi="Times New Roman" w:cs="Times New Roman"/>
          <w:color w:val="auto"/>
          <w:kern w:val="0"/>
          <w:sz w:val="24"/>
          <w:szCs w:val="24"/>
          <w:lang w:val="de-DE"/>
        </w:rPr>
        <w:t xml:space="preserve"> </w:t>
      </w:r>
      <w:r>
        <w:rPr>
          <w:rFonts w:ascii="Times New Roman" w:hAnsi="Times New Roman" w:cs="Times New Roman"/>
          <w:color w:val="auto"/>
          <w:kern w:val="0"/>
          <w:sz w:val="24"/>
          <w:szCs w:val="24"/>
          <w:lang w:val="de-DE"/>
        </w:rPr>
        <w:t xml:space="preserve">correspond to resistance and capacitance of the PEDOT:PSS and </w:t>
      </w:r>
      <w:r>
        <w:rPr>
          <w:rFonts w:hint="eastAsia" w:ascii="Times New Roman" w:hAnsi="Times New Roman" w:cs="Times New Roman"/>
          <w:color w:val="auto"/>
          <w:kern w:val="0"/>
          <w:sz w:val="24"/>
          <w:szCs w:val="24"/>
          <w:lang w:val="de-DE"/>
        </w:rPr>
        <w:t>PNDIT-F3N</w:t>
      </w:r>
      <w:r>
        <w:rPr>
          <w:rFonts w:ascii="Times New Roman" w:hAnsi="Times New Roman" w:cs="Times New Roman"/>
          <w:color w:val="auto"/>
          <w:kern w:val="0"/>
          <w:sz w:val="24"/>
          <w:szCs w:val="24"/>
          <w:lang w:val="de-DE"/>
        </w:rPr>
        <w:t xml:space="preserve"> interlayer. </w:t>
      </w:r>
    </w:p>
    <w:p w14:paraId="69251873">
      <w:pPr>
        <w:widowControl/>
        <w:spacing w:line="360" w:lineRule="auto"/>
        <w:rPr>
          <w:rFonts w:ascii="Times New Roman" w:hAnsi="Times New Roman" w:cs="Times New Roman"/>
          <w:color w:val="auto"/>
          <w:kern w:val="0"/>
          <w:sz w:val="24"/>
          <w:szCs w:val="24"/>
          <w:lang w:val="de-DE"/>
        </w:rPr>
      </w:pPr>
    </w:p>
    <w:p w14:paraId="4F27F1E2">
      <w:pPr>
        <w:widowControl/>
        <w:spacing w:line="360" w:lineRule="auto"/>
        <w:rPr>
          <w:rFonts w:ascii="Times New Roman" w:hAnsi="Times New Roman" w:cs="Times New Roman"/>
          <w:color w:val="auto"/>
          <w:kern w:val="0"/>
          <w:sz w:val="24"/>
          <w:szCs w:val="24"/>
          <w:lang w:val="de-DE"/>
        </w:rPr>
      </w:pPr>
      <w:r>
        <w:rPr>
          <w:rFonts w:hint="eastAsia" w:ascii="Times New Roman" w:hAnsi="Times New Roman" w:cs="Times New Roman"/>
          <w:b/>
          <w:bCs/>
          <w:color w:val="auto"/>
          <w:kern w:val="0"/>
          <w:sz w:val="24"/>
          <w:szCs w:val="24"/>
          <w:lang w:val="de-DE"/>
        </w:rPr>
        <w:t>Table S</w:t>
      </w:r>
      <w:r>
        <w:rPr>
          <w:rFonts w:hint="eastAsia" w:ascii="Times New Roman" w:hAnsi="Times New Roman" w:cs="Times New Roman"/>
          <w:b/>
          <w:bCs/>
          <w:color w:val="auto"/>
          <w:kern w:val="0"/>
          <w:sz w:val="24"/>
          <w:szCs w:val="24"/>
          <w:lang w:val="en-US" w:eastAsia="zh-CN"/>
        </w:rPr>
        <w:t>5</w:t>
      </w:r>
      <w:r>
        <w:rPr>
          <w:rFonts w:hint="eastAsia" w:ascii="Times New Roman" w:hAnsi="Times New Roman" w:cs="Times New Roman"/>
          <w:color w:val="auto"/>
          <w:kern w:val="0"/>
          <w:sz w:val="24"/>
          <w:szCs w:val="24"/>
          <w:lang w:val="de-DE"/>
        </w:rPr>
        <w:t>. Fitting Parameters of impedance spectroscopy using equivalent circuit.</w:t>
      </w:r>
    </w:p>
    <w:tbl>
      <w:tblPr>
        <w:tblStyle w:val="9"/>
        <w:tblW w:w="8611" w:type="dxa"/>
        <w:jc w:val="center"/>
        <w:tblLayout w:type="autofit"/>
        <w:tblCellMar>
          <w:top w:w="0" w:type="dxa"/>
          <w:left w:w="0" w:type="dxa"/>
          <w:bottom w:w="0" w:type="dxa"/>
          <w:right w:w="0" w:type="dxa"/>
        </w:tblCellMar>
      </w:tblPr>
      <w:tblGrid>
        <w:gridCol w:w="1306"/>
        <w:gridCol w:w="730"/>
        <w:gridCol w:w="731"/>
        <w:gridCol w:w="730"/>
        <w:gridCol w:w="731"/>
        <w:gridCol w:w="730"/>
        <w:gridCol w:w="731"/>
        <w:gridCol w:w="730"/>
        <w:gridCol w:w="731"/>
        <w:gridCol w:w="730"/>
        <w:gridCol w:w="731"/>
      </w:tblGrid>
      <w:tr w14:paraId="274ABC27">
        <w:tblPrEx>
          <w:tblCellMar>
            <w:top w:w="0" w:type="dxa"/>
            <w:left w:w="0" w:type="dxa"/>
            <w:bottom w:w="0" w:type="dxa"/>
            <w:right w:w="0" w:type="dxa"/>
          </w:tblCellMar>
        </w:tblPrEx>
        <w:trPr>
          <w:trHeight w:val="378" w:hRule="atLeast"/>
          <w:jc w:val="center"/>
        </w:trPr>
        <w:tc>
          <w:tcPr>
            <w:tcW w:w="1306" w:type="dxa"/>
            <w:vMerge w:val="restart"/>
            <w:tcBorders>
              <w:top w:val="single" w:color="000000" w:sz="12" w:space="0"/>
              <w:left w:val="nil"/>
              <w:bottom w:val="single" w:color="000000" w:sz="12" w:space="0"/>
              <w:right w:val="nil"/>
            </w:tcBorders>
            <w:tcMar>
              <w:top w:w="15" w:type="dxa"/>
              <w:left w:w="15" w:type="dxa"/>
              <w:bottom w:w="54" w:type="dxa"/>
              <w:right w:w="15" w:type="dxa"/>
            </w:tcMar>
            <w:vAlign w:val="center"/>
          </w:tcPr>
          <w:p w14:paraId="4A77397A">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Condition</w:t>
            </w:r>
          </w:p>
        </w:tc>
        <w:tc>
          <w:tcPr>
            <w:tcW w:w="1461" w:type="dxa"/>
            <w:gridSpan w:val="2"/>
            <w:tcBorders>
              <w:top w:val="single" w:color="000000" w:sz="12" w:space="0"/>
              <w:left w:val="nil"/>
              <w:bottom w:val="single" w:color="000000" w:sz="8" w:space="0"/>
              <w:right w:val="nil"/>
            </w:tcBorders>
            <w:tcMar>
              <w:top w:w="15" w:type="dxa"/>
              <w:left w:w="15" w:type="dxa"/>
              <w:bottom w:w="54" w:type="dxa"/>
              <w:right w:w="15" w:type="dxa"/>
            </w:tcMar>
            <w:vAlign w:val="center"/>
          </w:tcPr>
          <w:p w14:paraId="5AE4D702">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R</w:t>
            </w:r>
            <w:r>
              <w:rPr>
                <w:rFonts w:ascii="Times New Roman" w:hAnsi="Times New Roman" w:cs="Times New Roman"/>
                <w:color w:val="auto"/>
                <w:kern w:val="0"/>
                <w:sz w:val="24"/>
                <w:szCs w:val="24"/>
                <w:vertAlign w:val="subscript"/>
              </w:rPr>
              <w:t xml:space="preserve">s </w:t>
            </w:r>
            <w:r>
              <w:rPr>
                <w:rFonts w:ascii="Times New Roman" w:hAnsi="Times New Roman" w:cs="Times New Roman"/>
                <w:color w:val="auto"/>
                <w:kern w:val="0"/>
                <w:sz w:val="24"/>
                <w:szCs w:val="24"/>
              </w:rPr>
              <w:t>[Ω]</w:t>
            </w:r>
          </w:p>
        </w:tc>
        <w:tc>
          <w:tcPr>
            <w:tcW w:w="1461" w:type="dxa"/>
            <w:gridSpan w:val="2"/>
            <w:tcBorders>
              <w:top w:val="single" w:color="000000" w:sz="12" w:space="0"/>
              <w:left w:val="nil"/>
              <w:bottom w:val="single" w:color="000000" w:sz="8" w:space="0"/>
              <w:right w:val="nil"/>
            </w:tcBorders>
            <w:tcMar>
              <w:top w:w="15" w:type="dxa"/>
              <w:left w:w="15" w:type="dxa"/>
              <w:bottom w:w="54" w:type="dxa"/>
              <w:right w:w="15" w:type="dxa"/>
            </w:tcMar>
            <w:vAlign w:val="center"/>
          </w:tcPr>
          <w:p w14:paraId="181951D4">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C</w:t>
            </w:r>
            <w:r>
              <w:rPr>
                <w:rFonts w:ascii="Times New Roman" w:hAnsi="Times New Roman" w:cs="Times New Roman"/>
                <w:color w:val="auto"/>
                <w:kern w:val="0"/>
                <w:sz w:val="24"/>
                <w:szCs w:val="24"/>
                <w:vertAlign w:val="subscript"/>
              </w:rPr>
              <w:t xml:space="preserve">1 </w:t>
            </w:r>
            <w:r>
              <w:rPr>
                <w:rFonts w:ascii="Times New Roman" w:hAnsi="Times New Roman" w:cs="Times New Roman"/>
                <w:color w:val="auto"/>
                <w:kern w:val="0"/>
                <w:sz w:val="24"/>
                <w:szCs w:val="24"/>
              </w:rPr>
              <w:t>[nF]</w:t>
            </w:r>
          </w:p>
        </w:tc>
        <w:tc>
          <w:tcPr>
            <w:tcW w:w="1461" w:type="dxa"/>
            <w:gridSpan w:val="2"/>
            <w:tcBorders>
              <w:top w:val="single" w:color="000000" w:sz="12" w:space="0"/>
              <w:left w:val="nil"/>
              <w:bottom w:val="single" w:color="000000" w:sz="8" w:space="0"/>
              <w:right w:val="nil"/>
            </w:tcBorders>
            <w:tcMar>
              <w:top w:w="15" w:type="dxa"/>
              <w:left w:w="15" w:type="dxa"/>
              <w:bottom w:w="54" w:type="dxa"/>
              <w:right w:w="15" w:type="dxa"/>
            </w:tcMar>
            <w:vAlign w:val="center"/>
          </w:tcPr>
          <w:p w14:paraId="1E64ED49">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R</w:t>
            </w:r>
            <w:r>
              <w:rPr>
                <w:rFonts w:ascii="Times New Roman" w:hAnsi="Times New Roman" w:cs="Times New Roman"/>
                <w:color w:val="auto"/>
                <w:kern w:val="0"/>
                <w:sz w:val="24"/>
                <w:szCs w:val="24"/>
                <w:vertAlign w:val="subscript"/>
              </w:rPr>
              <w:t xml:space="preserve">1 </w:t>
            </w:r>
            <w:r>
              <w:rPr>
                <w:rFonts w:ascii="Times New Roman" w:hAnsi="Times New Roman" w:cs="Times New Roman"/>
                <w:color w:val="auto"/>
                <w:kern w:val="0"/>
                <w:sz w:val="24"/>
                <w:szCs w:val="24"/>
              </w:rPr>
              <w:t>[Ω]</w:t>
            </w:r>
          </w:p>
        </w:tc>
        <w:tc>
          <w:tcPr>
            <w:tcW w:w="1461" w:type="dxa"/>
            <w:gridSpan w:val="2"/>
            <w:tcBorders>
              <w:top w:val="single" w:color="000000" w:sz="12" w:space="0"/>
              <w:left w:val="nil"/>
              <w:bottom w:val="single" w:color="000000" w:sz="8" w:space="0"/>
              <w:right w:val="nil"/>
            </w:tcBorders>
            <w:tcMar>
              <w:top w:w="15" w:type="dxa"/>
              <w:left w:w="15" w:type="dxa"/>
              <w:bottom w:w="54" w:type="dxa"/>
              <w:right w:w="15" w:type="dxa"/>
            </w:tcMar>
            <w:vAlign w:val="center"/>
          </w:tcPr>
          <w:p w14:paraId="20EFD6FF">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C</w:t>
            </w:r>
            <w:r>
              <w:rPr>
                <w:rFonts w:ascii="Times New Roman" w:hAnsi="Times New Roman" w:cs="Times New Roman"/>
                <w:color w:val="auto"/>
                <w:kern w:val="0"/>
                <w:sz w:val="24"/>
                <w:szCs w:val="24"/>
                <w:vertAlign w:val="subscript"/>
              </w:rPr>
              <w:t xml:space="preserve">2 </w:t>
            </w:r>
            <w:r>
              <w:rPr>
                <w:rFonts w:ascii="Times New Roman" w:hAnsi="Times New Roman" w:cs="Times New Roman"/>
                <w:color w:val="auto"/>
                <w:kern w:val="0"/>
                <w:sz w:val="24"/>
                <w:szCs w:val="24"/>
              </w:rPr>
              <w:t>[nF]</w:t>
            </w:r>
          </w:p>
        </w:tc>
        <w:tc>
          <w:tcPr>
            <w:tcW w:w="1461" w:type="dxa"/>
            <w:gridSpan w:val="2"/>
            <w:tcBorders>
              <w:top w:val="single" w:color="000000" w:sz="12" w:space="0"/>
              <w:left w:val="nil"/>
              <w:bottom w:val="single" w:color="000000" w:sz="8" w:space="0"/>
              <w:right w:val="nil"/>
            </w:tcBorders>
            <w:tcMar>
              <w:top w:w="15" w:type="dxa"/>
              <w:left w:w="15" w:type="dxa"/>
              <w:bottom w:w="54" w:type="dxa"/>
              <w:right w:w="15" w:type="dxa"/>
            </w:tcMar>
            <w:vAlign w:val="center"/>
          </w:tcPr>
          <w:p w14:paraId="2C17C76F">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R</w:t>
            </w:r>
            <w:r>
              <w:rPr>
                <w:rFonts w:ascii="Times New Roman" w:hAnsi="Times New Roman" w:cs="Times New Roman"/>
                <w:color w:val="auto"/>
                <w:kern w:val="0"/>
                <w:sz w:val="24"/>
                <w:szCs w:val="24"/>
                <w:vertAlign w:val="subscript"/>
              </w:rPr>
              <w:t xml:space="preserve">2 </w:t>
            </w:r>
            <w:r>
              <w:rPr>
                <w:rFonts w:ascii="Times New Roman" w:hAnsi="Times New Roman" w:cs="Times New Roman"/>
                <w:color w:val="auto"/>
                <w:kern w:val="0"/>
                <w:sz w:val="24"/>
                <w:szCs w:val="24"/>
              </w:rPr>
              <w:t>[Ω]</w:t>
            </w:r>
          </w:p>
        </w:tc>
      </w:tr>
      <w:tr w14:paraId="6BC29794">
        <w:tblPrEx>
          <w:tblCellMar>
            <w:top w:w="0" w:type="dxa"/>
            <w:left w:w="0" w:type="dxa"/>
            <w:bottom w:w="0" w:type="dxa"/>
            <w:right w:w="0" w:type="dxa"/>
          </w:tblCellMar>
        </w:tblPrEx>
        <w:trPr>
          <w:trHeight w:val="702" w:hRule="atLeast"/>
          <w:jc w:val="center"/>
        </w:trPr>
        <w:tc>
          <w:tcPr>
            <w:tcW w:w="0" w:type="auto"/>
            <w:vMerge w:val="continue"/>
            <w:tcBorders>
              <w:top w:val="single" w:color="000000" w:sz="12" w:space="0"/>
              <w:left w:val="nil"/>
              <w:bottom w:val="single" w:color="000000" w:sz="12" w:space="0"/>
              <w:right w:val="nil"/>
            </w:tcBorders>
            <w:vAlign w:val="center"/>
          </w:tcPr>
          <w:p w14:paraId="7920DAF0">
            <w:pPr>
              <w:widowControl/>
              <w:spacing w:line="360" w:lineRule="auto"/>
              <w:rPr>
                <w:rFonts w:ascii="Times New Roman" w:hAnsi="Times New Roman" w:cs="Times New Roman"/>
                <w:color w:val="auto"/>
                <w:kern w:val="0"/>
                <w:sz w:val="24"/>
                <w:szCs w:val="24"/>
              </w:rPr>
            </w:pP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7C7C20EB">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Value</w:t>
            </w:r>
          </w:p>
          <w:p w14:paraId="4107E1C4">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[Ω]</w:t>
            </w: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666CE28F">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Error</w:t>
            </w:r>
          </w:p>
          <w:p w14:paraId="7A3C774A">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w:t>
            </w: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7CB94EEF">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Value</w:t>
            </w:r>
          </w:p>
          <w:p w14:paraId="6C162D2B">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[nF]</w:t>
            </w: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29CFBEB0">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Error</w:t>
            </w:r>
          </w:p>
          <w:p w14:paraId="21D3275A">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w:t>
            </w: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3C997120">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Value</w:t>
            </w:r>
          </w:p>
          <w:p w14:paraId="6595B2C3">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[Ω]</w:t>
            </w: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3AF7D063">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Error</w:t>
            </w:r>
          </w:p>
          <w:p w14:paraId="50022EDF">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w:t>
            </w: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7ECCF0BB">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Value</w:t>
            </w:r>
          </w:p>
          <w:p w14:paraId="173C4054">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[nF]</w:t>
            </w: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7D7C9CDF">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Error</w:t>
            </w:r>
          </w:p>
          <w:p w14:paraId="309B065B">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w:t>
            </w: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464FA7E7">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Value</w:t>
            </w:r>
          </w:p>
          <w:p w14:paraId="78E91065">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[Ω]</w:t>
            </w:r>
          </w:p>
        </w:tc>
        <w:tc>
          <w:tcPr>
            <w:tcW w:w="730" w:type="dxa"/>
            <w:tcBorders>
              <w:top w:val="single" w:color="000000" w:sz="8" w:space="0"/>
              <w:left w:val="nil"/>
              <w:bottom w:val="single" w:color="000000" w:sz="12" w:space="0"/>
              <w:right w:val="nil"/>
            </w:tcBorders>
            <w:tcMar>
              <w:top w:w="15" w:type="dxa"/>
              <w:left w:w="15" w:type="dxa"/>
              <w:bottom w:w="54" w:type="dxa"/>
              <w:right w:w="15" w:type="dxa"/>
            </w:tcMar>
            <w:vAlign w:val="center"/>
          </w:tcPr>
          <w:p w14:paraId="2026FDD6">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Error</w:t>
            </w:r>
          </w:p>
          <w:p w14:paraId="12E4BA0F">
            <w:pPr>
              <w:widowControl/>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kern w:val="0"/>
                <w:sz w:val="24"/>
                <w:szCs w:val="24"/>
              </w:rPr>
              <w:t>[%]</w:t>
            </w:r>
          </w:p>
        </w:tc>
      </w:tr>
      <w:tr w14:paraId="3B1BCE0D">
        <w:tblPrEx>
          <w:tblCellMar>
            <w:top w:w="0" w:type="dxa"/>
            <w:left w:w="0" w:type="dxa"/>
            <w:bottom w:w="0" w:type="dxa"/>
            <w:right w:w="0" w:type="dxa"/>
          </w:tblCellMar>
        </w:tblPrEx>
        <w:trPr>
          <w:trHeight w:val="362" w:hRule="atLeast"/>
          <w:jc w:val="center"/>
        </w:trPr>
        <w:tc>
          <w:tcPr>
            <w:tcW w:w="1306" w:type="dxa"/>
            <w:tcBorders>
              <w:top w:val="single" w:color="000000" w:sz="12" w:space="0"/>
              <w:left w:val="nil"/>
              <w:bottom w:val="nil"/>
              <w:right w:val="nil"/>
            </w:tcBorders>
            <w:tcMar>
              <w:top w:w="15" w:type="dxa"/>
              <w:left w:w="15" w:type="dxa"/>
              <w:bottom w:w="54" w:type="dxa"/>
              <w:right w:w="15" w:type="dxa"/>
            </w:tcMar>
            <w:vAlign w:val="center"/>
          </w:tcPr>
          <w:p w14:paraId="233E0992">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D18/eC9</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1E01E2CF">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29.86</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4966DE97">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3.42</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0A7613F6">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4.72</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6EE87452">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2.50</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66C35138">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 xml:space="preserve">105.2 </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6E0FACAE">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2.58</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6A607928">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3.05</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1214EDBE">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0.46</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47F14F51">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 xml:space="preserve">5165 </w:t>
            </w:r>
          </w:p>
        </w:tc>
        <w:tc>
          <w:tcPr>
            <w:tcW w:w="730" w:type="dxa"/>
            <w:tcBorders>
              <w:top w:val="single" w:color="000000" w:sz="12" w:space="0"/>
              <w:left w:val="nil"/>
              <w:bottom w:val="nil"/>
              <w:right w:val="nil"/>
            </w:tcBorders>
            <w:tcMar>
              <w:top w:w="15" w:type="dxa"/>
              <w:left w:w="15" w:type="dxa"/>
              <w:bottom w:w="0" w:type="dxa"/>
              <w:right w:w="15" w:type="dxa"/>
            </w:tcMar>
            <w:vAlign w:val="center"/>
          </w:tcPr>
          <w:p w14:paraId="0F7CA03C">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0.28</w:t>
            </w:r>
          </w:p>
        </w:tc>
      </w:tr>
      <w:tr w14:paraId="6263325B">
        <w:tblPrEx>
          <w:tblCellMar>
            <w:top w:w="0" w:type="dxa"/>
            <w:left w:w="0" w:type="dxa"/>
            <w:bottom w:w="0" w:type="dxa"/>
            <w:right w:w="0" w:type="dxa"/>
          </w:tblCellMar>
        </w:tblPrEx>
        <w:trPr>
          <w:trHeight w:val="362" w:hRule="atLeast"/>
          <w:jc w:val="center"/>
        </w:trPr>
        <w:tc>
          <w:tcPr>
            <w:tcW w:w="1306" w:type="dxa"/>
            <w:tcBorders>
              <w:top w:val="nil"/>
              <w:left w:val="nil"/>
              <w:bottom w:val="single" w:color="000000" w:sz="12" w:space="0"/>
              <w:right w:val="nil"/>
            </w:tcBorders>
            <w:tcMar>
              <w:top w:w="15" w:type="dxa"/>
              <w:left w:w="15" w:type="dxa"/>
              <w:bottom w:w="54" w:type="dxa"/>
              <w:right w:w="15" w:type="dxa"/>
            </w:tcMar>
            <w:vAlign w:val="center"/>
          </w:tcPr>
          <w:p w14:paraId="34BCA1AA">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D18 HS/eC9</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4392C189">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33.28</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7017893F">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1.69</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51F925FB">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17.43</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5E32DDD5">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7.20</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60751170">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 xml:space="preserve">17.34 </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062AE675">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4.39</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36D7D824">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4.31</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118BBB6A">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0.33</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38A19F49">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 xml:space="preserve">1694 </w:t>
            </w:r>
          </w:p>
        </w:tc>
        <w:tc>
          <w:tcPr>
            <w:tcW w:w="730" w:type="dxa"/>
            <w:tcBorders>
              <w:top w:val="nil"/>
              <w:left w:val="nil"/>
              <w:bottom w:val="single" w:color="000000" w:sz="12" w:space="0"/>
              <w:right w:val="nil"/>
            </w:tcBorders>
            <w:tcMar>
              <w:top w:w="15" w:type="dxa"/>
              <w:left w:w="15" w:type="dxa"/>
              <w:bottom w:w="0" w:type="dxa"/>
              <w:right w:w="15" w:type="dxa"/>
            </w:tcMar>
            <w:vAlign w:val="center"/>
          </w:tcPr>
          <w:p w14:paraId="2B687BD4">
            <w:pPr>
              <w:widowControl/>
              <w:spacing w:line="360" w:lineRule="auto"/>
              <w:rPr>
                <w:rFonts w:ascii="Times New Roman" w:hAnsi="Times New Roman" w:cs="Times New Roman"/>
                <w:color w:val="auto"/>
                <w:kern w:val="0"/>
                <w:sz w:val="24"/>
                <w:szCs w:val="24"/>
              </w:rPr>
            </w:pPr>
            <w:r>
              <w:rPr>
                <w:rFonts w:ascii="Times New Roman" w:hAnsi="Times New Roman" w:cs="Times New Roman"/>
                <w:color w:val="auto"/>
                <w:kern w:val="0"/>
                <w:sz w:val="24"/>
                <w:szCs w:val="24"/>
              </w:rPr>
              <w:t>0.17</w:t>
            </w:r>
          </w:p>
        </w:tc>
      </w:tr>
    </w:tbl>
    <w:p w14:paraId="128FABB2">
      <w:pPr>
        <w:widowControl/>
        <w:spacing w:line="360" w:lineRule="auto"/>
        <w:rPr>
          <w:rFonts w:ascii="Times New Roman" w:hAnsi="Times New Roman" w:cs="Times New Roman"/>
          <w:color w:val="auto"/>
          <w:kern w:val="0"/>
          <w:sz w:val="24"/>
          <w:szCs w:val="24"/>
          <w:lang w:val="de-DE"/>
        </w:rPr>
      </w:pPr>
    </w:p>
    <w:p w14:paraId="2CBA8EF4">
      <w:pPr>
        <w:widowControl/>
        <w:spacing w:line="360" w:lineRule="auto"/>
        <w:jc w:val="center"/>
        <w:rPr>
          <w:rFonts w:ascii="Times New Roman" w:hAnsi="Times New Roman" w:cs="Times New Roman"/>
          <w:color w:val="auto"/>
          <w:kern w:val="0"/>
          <w:sz w:val="24"/>
          <w:szCs w:val="24"/>
          <w:lang w:val="de-DE"/>
        </w:rPr>
      </w:pPr>
      <w:r>
        <w:rPr>
          <w:rFonts w:hint="eastAsia" w:ascii="Times New Roman" w:hAnsi="Times New Roman" w:cs="Times New Roman"/>
          <w:color w:val="auto"/>
          <w:kern w:val="0"/>
          <w:sz w:val="24"/>
          <w:szCs w:val="24"/>
          <w:lang w:val="de-DE"/>
        </w:rPr>
        <w:drawing>
          <wp:inline distT="0" distB="0" distL="114300" distR="114300">
            <wp:extent cx="3239770" cy="2610485"/>
            <wp:effectExtent l="0" t="0" r="11430" b="5715"/>
            <wp:docPr id="13" name="图片 13" descr="175317622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53176221657"/>
                    <pic:cNvPicPr>
                      <a:picLocks noChangeAspect="1"/>
                    </pic:cNvPicPr>
                  </pic:nvPicPr>
                  <pic:blipFill>
                    <a:blip r:embed="rId29"/>
                    <a:stretch>
                      <a:fillRect/>
                    </a:stretch>
                  </pic:blipFill>
                  <pic:spPr>
                    <a:xfrm>
                      <a:off x="0" y="0"/>
                      <a:ext cx="3239770" cy="2610485"/>
                    </a:xfrm>
                    <a:prstGeom prst="rect">
                      <a:avLst/>
                    </a:prstGeom>
                  </pic:spPr>
                </pic:pic>
              </a:graphicData>
            </a:graphic>
          </wp:inline>
        </w:drawing>
      </w:r>
    </w:p>
    <w:p w14:paraId="0C0ADE77">
      <w:pPr>
        <w:spacing w:line="360" w:lineRule="auto"/>
        <w:rPr>
          <w:rFonts w:hint="eastAsia"/>
          <w:color w:val="auto"/>
        </w:rPr>
      </w:pPr>
      <w:r>
        <w:rPr>
          <w:rFonts w:ascii="Times New Roman" w:hAnsi="Times New Roman" w:cs="Times New Roman"/>
          <w:b/>
          <w:bCs/>
          <w:color w:val="auto"/>
          <w:sz w:val="24"/>
          <w:szCs w:val="24"/>
        </w:rPr>
        <w:t>Figure S</w:t>
      </w:r>
      <w:r>
        <w:rPr>
          <w:rFonts w:hint="eastAsia" w:ascii="Times New Roman" w:hAnsi="Times New Roman" w:cs="Times New Roman"/>
          <w:b/>
          <w:bCs/>
          <w:color w:val="auto"/>
          <w:sz w:val="24"/>
          <w:szCs w:val="24"/>
        </w:rPr>
        <w:t>2</w:t>
      </w:r>
      <w:r>
        <w:rPr>
          <w:rFonts w:hint="eastAsia" w:ascii="Times New Roman" w:hAnsi="Times New Roman" w:cs="Times New Roman"/>
          <w:b/>
          <w:bCs/>
          <w:color w:val="auto"/>
          <w:sz w:val="24"/>
          <w:szCs w:val="24"/>
          <w:lang w:val="en-US" w:eastAsia="zh-CN"/>
        </w:rPr>
        <w:t>6</w:t>
      </w:r>
      <w:r>
        <w:rPr>
          <w:rFonts w:ascii="Times New Roman" w:hAnsi="Times New Roman" w:eastAsia="宋体" w:cs="Times New Roman"/>
          <w:b/>
          <w:bCs/>
          <w:color w:val="auto"/>
          <w:sz w:val="24"/>
          <w:szCs w:val="24"/>
        </w:rPr>
        <w:t>.</w:t>
      </w:r>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DLTS datas and fitting curves of D18/eC9 and D18 HS/eC9 devices.</w:t>
      </w:r>
    </w:p>
    <w:p w14:paraId="18053B12">
      <w:pPr>
        <w:widowControl/>
        <w:spacing w:line="360" w:lineRule="auto"/>
        <w:jc w:val="center"/>
        <w:rPr>
          <w:rFonts w:ascii="Times New Roman" w:hAnsi="Times New Roman" w:cs="Times New Roman"/>
          <w:color w:val="auto"/>
          <w:kern w:val="0"/>
          <w:sz w:val="24"/>
          <w:szCs w:val="24"/>
          <w:lang w:val="de-DE"/>
        </w:rPr>
      </w:pPr>
    </w:p>
    <w:p w14:paraId="1BB7F217">
      <w:pPr>
        <w:widowControl/>
        <w:spacing w:line="360" w:lineRule="auto"/>
        <w:jc w:val="center"/>
        <w:rPr>
          <w:rFonts w:ascii="Times New Roman" w:hAnsi="Times New Roman" w:cs="Times New Roman"/>
          <w:color w:val="auto"/>
          <w:kern w:val="0"/>
          <w:sz w:val="24"/>
          <w:szCs w:val="24"/>
          <w:lang w:val="de-DE"/>
        </w:rPr>
      </w:pPr>
      <w:r>
        <w:rPr>
          <w:color w:val="auto"/>
        </w:rPr>
        <w:drawing>
          <wp:inline distT="0" distB="0" distL="0" distR="0">
            <wp:extent cx="5219700" cy="1390015"/>
            <wp:effectExtent l="0" t="0" r="0" b="6985"/>
            <wp:docPr id="2092851818" name="图片 1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51818" name="图片 13" descr="图示&#10;&#10;AI 生成的内容可能不正确。"/>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19700" cy="1390015"/>
                    </a:xfrm>
                    <a:prstGeom prst="rect">
                      <a:avLst/>
                    </a:prstGeom>
                    <a:noFill/>
                    <a:ln>
                      <a:noFill/>
                    </a:ln>
                  </pic:spPr>
                </pic:pic>
              </a:graphicData>
            </a:graphic>
          </wp:inline>
        </w:drawing>
      </w:r>
    </w:p>
    <w:p w14:paraId="7ACF19F1">
      <w:pPr>
        <w:widowControl/>
        <w:spacing w:line="360" w:lineRule="auto"/>
        <w:rPr>
          <w:rFonts w:ascii="Times New Roman" w:hAnsi="Times New Roman" w:eastAsia="宋体" w:cs="Times New Roman"/>
          <w:color w:val="auto"/>
          <w:kern w:val="0"/>
          <w:sz w:val="24"/>
          <w:szCs w:val="24"/>
        </w:rPr>
      </w:pPr>
      <w:r>
        <w:rPr>
          <w:rFonts w:ascii="Times New Roman" w:hAnsi="Times New Roman" w:eastAsia="MS Mincho" w:cs="Times New Roman"/>
          <w:b/>
          <w:bCs/>
          <w:color w:val="auto"/>
          <w:kern w:val="0"/>
          <w:sz w:val="24"/>
          <w:szCs w:val="24"/>
          <w:lang w:eastAsia="ja-JP"/>
        </w:rPr>
        <w:t>Figure S</w:t>
      </w:r>
      <w:r>
        <w:rPr>
          <w:rFonts w:hint="eastAsia" w:ascii="Times New Roman" w:hAnsi="Times New Roman" w:eastAsia="宋体" w:cs="Times New Roman"/>
          <w:b/>
          <w:bCs/>
          <w:color w:val="auto"/>
          <w:kern w:val="0"/>
          <w:sz w:val="24"/>
          <w:szCs w:val="24"/>
        </w:rPr>
        <w:t>2</w:t>
      </w:r>
      <w:r>
        <w:rPr>
          <w:rFonts w:hint="eastAsia" w:ascii="Times New Roman" w:hAnsi="Times New Roman" w:eastAsia="宋体" w:cs="Times New Roman"/>
          <w:b/>
          <w:bCs/>
          <w:color w:val="auto"/>
          <w:kern w:val="0"/>
          <w:sz w:val="24"/>
          <w:szCs w:val="24"/>
          <w:lang w:val="en-US" w:eastAsia="zh-CN"/>
        </w:rPr>
        <w:t>7</w:t>
      </w:r>
      <w:r>
        <w:rPr>
          <w:rFonts w:ascii="Times New Roman" w:hAnsi="Times New Roman" w:eastAsia="宋体" w:cs="Times New Roman"/>
          <w:b/>
          <w:bCs/>
          <w:color w:val="auto"/>
          <w:kern w:val="0"/>
          <w:sz w:val="24"/>
          <w:szCs w:val="24"/>
        </w:rPr>
        <w:t>.</w:t>
      </w:r>
      <w:r>
        <w:rPr>
          <w:rFonts w:ascii="Times New Roman" w:hAnsi="Times New Roman" w:eastAsia="MS Mincho" w:cs="Times New Roman"/>
          <w:b/>
          <w:bCs/>
          <w:color w:val="auto"/>
          <w:kern w:val="0"/>
          <w:sz w:val="24"/>
          <w:szCs w:val="24"/>
          <w:lang w:eastAsia="ja-JP"/>
        </w:rPr>
        <w:t xml:space="preserve"> </w:t>
      </w:r>
      <w:r>
        <w:rPr>
          <w:rFonts w:ascii="Times New Roman" w:hAnsi="Times New Roman" w:eastAsia="宋体" w:cs="Times New Roman"/>
          <w:i/>
          <w:iCs/>
          <w:color w:val="auto"/>
          <w:kern w:val="0"/>
          <w:sz w:val="24"/>
          <w:szCs w:val="24"/>
        </w:rPr>
        <w:t>J−V</w:t>
      </w:r>
      <w:r>
        <w:rPr>
          <w:rFonts w:ascii="Times New Roman" w:hAnsi="Times New Roman" w:eastAsia="MS Mincho" w:cs="Times New Roman"/>
          <w:color w:val="auto"/>
          <w:kern w:val="0"/>
          <w:sz w:val="24"/>
          <w:szCs w:val="24"/>
          <w:lang w:eastAsia="ja-JP"/>
        </w:rPr>
        <w:t xml:space="preserve"> curves of hole-only</w:t>
      </w:r>
      <w:r>
        <w:rPr>
          <w:rFonts w:hint="eastAsia" w:ascii="Times New Roman" w:hAnsi="Times New Roman" w:eastAsia="宋体" w:cs="Times New Roman"/>
          <w:color w:val="auto"/>
          <w:kern w:val="0"/>
          <w:sz w:val="24"/>
          <w:szCs w:val="24"/>
        </w:rPr>
        <w:t xml:space="preserve"> (</w:t>
      </w:r>
      <w:r>
        <w:rPr>
          <w:rFonts w:ascii="Times New Roman" w:hAnsi="Times New Roman" w:eastAsia="等线" w:cs="Times New Roman"/>
          <w:color w:val="auto"/>
          <w:kern w:val="0"/>
          <w:sz w:val="24"/>
          <w:szCs w:val="21"/>
          <w:lang w:val="de-DE"/>
        </w:rPr>
        <w:t>ITO/PEDOT:PSS/</w:t>
      </w:r>
      <w:r>
        <w:rPr>
          <w:rFonts w:hint="eastAsia" w:ascii="Times New Roman" w:hAnsi="Times New Roman" w:eastAsia="等线" w:cs="Times New Roman"/>
          <w:color w:val="auto"/>
          <w:kern w:val="0"/>
          <w:sz w:val="24"/>
          <w:szCs w:val="21"/>
          <w:lang w:val="de-DE"/>
        </w:rPr>
        <w:t>film</w:t>
      </w:r>
      <w:r>
        <w:rPr>
          <w:rFonts w:ascii="Times New Roman" w:hAnsi="Times New Roman" w:eastAsia="等线" w:cs="Times New Roman"/>
          <w:color w:val="auto"/>
          <w:kern w:val="0"/>
          <w:sz w:val="24"/>
          <w:szCs w:val="21"/>
          <w:lang w:val="de-DE"/>
        </w:rPr>
        <w:t>/MoO</w:t>
      </w:r>
      <w:r>
        <w:rPr>
          <w:rFonts w:ascii="Times New Roman" w:hAnsi="Times New Roman" w:eastAsia="等线" w:cs="Times New Roman"/>
          <w:color w:val="auto"/>
          <w:kern w:val="0"/>
          <w:sz w:val="24"/>
          <w:szCs w:val="21"/>
          <w:vertAlign w:val="subscript"/>
          <w:lang w:val="de-DE"/>
        </w:rPr>
        <w:t>3</w:t>
      </w:r>
      <w:r>
        <w:rPr>
          <w:rFonts w:ascii="Times New Roman" w:hAnsi="Times New Roman" w:eastAsia="等线" w:cs="Times New Roman"/>
          <w:color w:val="auto"/>
          <w:kern w:val="0"/>
          <w:sz w:val="24"/>
          <w:szCs w:val="21"/>
          <w:lang w:val="de-DE"/>
        </w:rPr>
        <w:t>/Ag</w:t>
      </w:r>
      <w:r>
        <w:rPr>
          <w:rFonts w:hint="eastAsia" w:ascii="Times New Roman" w:hAnsi="Times New Roman" w:eastAsia="宋体" w:cs="Times New Roman"/>
          <w:color w:val="auto"/>
          <w:kern w:val="0"/>
          <w:sz w:val="24"/>
          <w:szCs w:val="24"/>
        </w:rPr>
        <w:t>)</w:t>
      </w:r>
      <w:r>
        <w:rPr>
          <w:rFonts w:ascii="Times New Roman" w:hAnsi="Times New Roman" w:eastAsia="MS Mincho" w:cs="Times New Roman"/>
          <w:color w:val="auto"/>
          <w:kern w:val="0"/>
          <w:sz w:val="24"/>
          <w:szCs w:val="24"/>
          <w:lang w:eastAsia="ja-JP"/>
        </w:rPr>
        <w:t xml:space="preserve"> and electron-only</w:t>
      </w:r>
      <w:r>
        <w:rPr>
          <w:rFonts w:hint="eastAsia" w:ascii="Times New Roman" w:hAnsi="Times New Roman" w:eastAsia="宋体" w:cs="Times New Roman"/>
          <w:color w:val="auto"/>
          <w:kern w:val="0"/>
          <w:sz w:val="24"/>
          <w:szCs w:val="24"/>
        </w:rPr>
        <w:t xml:space="preserve"> (</w:t>
      </w:r>
      <w:r>
        <w:rPr>
          <w:rFonts w:ascii="Times New Roman" w:hAnsi="Times New Roman" w:eastAsia="等线" w:cs="Times New Roman"/>
          <w:color w:val="auto"/>
          <w:kern w:val="0"/>
          <w:sz w:val="24"/>
          <w:szCs w:val="21"/>
          <w:lang w:val="de-DE"/>
        </w:rPr>
        <w:t>ITO/ZnO/</w:t>
      </w:r>
      <w:r>
        <w:rPr>
          <w:rFonts w:hint="eastAsia" w:ascii="Times New Roman" w:hAnsi="Times New Roman" w:eastAsia="等线" w:cs="Times New Roman"/>
          <w:color w:val="auto"/>
          <w:kern w:val="0"/>
          <w:sz w:val="24"/>
          <w:szCs w:val="21"/>
          <w:lang w:val="de-DE"/>
        </w:rPr>
        <w:t>film</w:t>
      </w:r>
      <w:r>
        <w:rPr>
          <w:rFonts w:ascii="Times New Roman" w:hAnsi="Times New Roman" w:eastAsia="等线" w:cs="Times New Roman"/>
          <w:color w:val="auto"/>
          <w:kern w:val="0"/>
          <w:sz w:val="24"/>
          <w:szCs w:val="21"/>
          <w:lang w:val="de-DE"/>
        </w:rPr>
        <w:t>/P</w:t>
      </w:r>
      <w:r>
        <w:rPr>
          <w:rFonts w:hint="eastAsia" w:ascii="Times New Roman" w:hAnsi="Times New Roman" w:eastAsia="等线" w:cs="Times New Roman"/>
          <w:color w:val="auto"/>
          <w:kern w:val="0"/>
          <w:sz w:val="24"/>
          <w:szCs w:val="21"/>
          <w:lang w:val="de-DE"/>
        </w:rPr>
        <w:t>NDIT-F3N</w:t>
      </w:r>
      <w:r>
        <w:rPr>
          <w:rFonts w:ascii="Times New Roman" w:hAnsi="Times New Roman" w:eastAsia="等线" w:cs="Times New Roman"/>
          <w:color w:val="auto"/>
          <w:kern w:val="0"/>
          <w:sz w:val="24"/>
          <w:szCs w:val="21"/>
          <w:lang w:val="de-DE"/>
        </w:rPr>
        <w:t>/Ag</w:t>
      </w:r>
      <w:r>
        <w:rPr>
          <w:rFonts w:hint="eastAsia" w:ascii="Times New Roman" w:hAnsi="Times New Roman" w:eastAsia="宋体" w:cs="Times New Roman"/>
          <w:color w:val="auto"/>
          <w:kern w:val="0"/>
          <w:sz w:val="24"/>
          <w:szCs w:val="24"/>
        </w:rPr>
        <w:t xml:space="preserve">) </w:t>
      </w:r>
      <w:r>
        <w:rPr>
          <w:rFonts w:ascii="Times New Roman" w:hAnsi="Times New Roman" w:eastAsia="宋体" w:cs="Times New Roman"/>
          <w:color w:val="auto"/>
          <w:kern w:val="0"/>
          <w:sz w:val="24"/>
          <w:szCs w:val="24"/>
        </w:rPr>
        <w:t>devices</w:t>
      </w:r>
      <w:r>
        <w:rPr>
          <w:rFonts w:hint="eastAsia" w:ascii="Times New Roman" w:hAnsi="Times New Roman" w:eastAsia="宋体" w:cs="Times New Roman"/>
          <w:color w:val="auto"/>
          <w:kern w:val="0"/>
          <w:sz w:val="24"/>
          <w:szCs w:val="24"/>
        </w:rPr>
        <w:t>. a) Hole-only curves for D18 and D18 HS films. b) Hole-only curves</w:t>
      </w:r>
      <w:r>
        <w:rPr>
          <w:rFonts w:ascii="Times New Roman" w:hAnsi="Times New Roman" w:eastAsia="宋体" w:cs="Times New Roman"/>
          <w:color w:val="auto"/>
          <w:kern w:val="0"/>
          <w:sz w:val="24"/>
          <w:szCs w:val="24"/>
        </w:rPr>
        <w:t xml:space="preserve"> </w:t>
      </w:r>
      <w:r>
        <w:rPr>
          <w:rFonts w:hint="eastAsia" w:ascii="Times New Roman" w:hAnsi="Times New Roman" w:eastAsia="宋体" w:cs="Times New Roman"/>
          <w:color w:val="auto"/>
          <w:kern w:val="0"/>
          <w:sz w:val="24"/>
          <w:szCs w:val="24"/>
        </w:rPr>
        <w:t>and c) electron-only curves for D18/eC9 and D18 HS/eC9 films.</w:t>
      </w:r>
    </w:p>
    <w:p w14:paraId="76233E97">
      <w:pPr>
        <w:widowControl/>
        <w:spacing w:line="360" w:lineRule="auto"/>
        <w:rPr>
          <w:rFonts w:ascii="Times New Roman" w:hAnsi="Times New Roman" w:eastAsia="宋体" w:cs="Times New Roman"/>
          <w:color w:val="auto"/>
          <w:kern w:val="0"/>
          <w:sz w:val="24"/>
          <w:szCs w:val="24"/>
        </w:rPr>
      </w:pPr>
    </w:p>
    <w:p w14:paraId="4125136D">
      <w:pPr>
        <w:widowControl/>
        <w:spacing w:line="360" w:lineRule="auto"/>
        <w:rPr>
          <w:rFonts w:ascii="Times New Roman" w:hAnsi="Times New Roman" w:cs="Times New Roman"/>
          <w:color w:val="auto"/>
          <w:kern w:val="0"/>
          <w:sz w:val="24"/>
          <w:szCs w:val="24"/>
        </w:rPr>
      </w:pPr>
      <w:r>
        <w:rPr>
          <w:color w:val="auto"/>
        </w:rPr>
        <w:drawing>
          <wp:inline distT="0" distB="0" distL="0" distR="0">
            <wp:extent cx="5274310" cy="1741170"/>
            <wp:effectExtent l="0" t="0" r="2540" b="0"/>
            <wp:docPr id="2106811771" name="图片 14" descr="图表, 折线图,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811771" name="图片 14" descr="图表, 折线图, 直方图&#10;&#10;AI 生成的内容可能不正确。"/>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74310" cy="1741170"/>
                    </a:xfrm>
                    <a:prstGeom prst="rect">
                      <a:avLst/>
                    </a:prstGeom>
                    <a:noFill/>
                    <a:ln>
                      <a:noFill/>
                    </a:ln>
                  </pic:spPr>
                </pic:pic>
              </a:graphicData>
            </a:graphic>
          </wp:inline>
        </w:drawing>
      </w:r>
    </w:p>
    <w:p w14:paraId="46671E14">
      <w:pPr>
        <w:spacing w:line="360" w:lineRule="auto"/>
        <w:rPr>
          <w:rFonts w:ascii="Times New Roman" w:hAnsi="Times New Roman" w:cs="Times New Roman"/>
          <w:color w:val="auto"/>
          <w:sz w:val="24"/>
          <w:szCs w:val="24"/>
        </w:rPr>
      </w:pPr>
      <w:r>
        <w:rPr>
          <w:rFonts w:ascii="Times New Roman" w:hAnsi="Times New Roman" w:eastAsia="MS Mincho" w:cs="Times New Roman"/>
          <w:b/>
          <w:bCs/>
          <w:color w:val="auto"/>
          <w:kern w:val="0"/>
          <w:sz w:val="24"/>
          <w:szCs w:val="24"/>
          <w:lang w:eastAsia="ja-JP"/>
        </w:rPr>
        <w:t>Figure S</w:t>
      </w:r>
      <w:r>
        <w:rPr>
          <w:rFonts w:hint="eastAsia" w:ascii="Times New Roman" w:hAnsi="Times New Roman" w:eastAsia="宋体" w:cs="Times New Roman"/>
          <w:b/>
          <w:bCs/>
          <w:color w:val="auto"/>
          <w:kern w:val="0"/>
          <w:sz w:val="24"/>
          <w:szCs w:val="24"/>
        </w:rPr>
        <w:t>2</w:t>
      </w:r>
      <w:r>
        <w:rPr>
          <w:rFonts w:hint="eastAsia" w:ascii="Times New Roman" w:hAnsi="Times New Roman" w:eastAsia="宋体" w:cs="Times New Roman"/>
          <w:b/>
          <w:bCs/>
          <w:color w:val="auto"/>
          <w:kern w:val="0"/>
          <w:sz w:val="24"/>
          <w:szCs w:val="24"/>
          <w:lang w:val="en-US" w:eastAsia="zh-CN"/>
        </w:rPr>
        <w:t>8</w:t>
      </w:r>
      <w:r>
        <w:rPr>
          <w:rFonts w:hint="eastAsia" w:ascii="Times New Roman" w:hAnsi="Times New Roman" w:eastAsia="宋体" w:cs="Times New Roman"/>
          <w:b/>
          <w:bCs/>
          <w:color w:val="auto"/>
          <w:kern w:val="0"/>
          <w:sz w:val="24"/>
          <w:szCs w:val="24"/>
        </w:rPr>
        <w:t xml:space="preserve">. </w:t>
      </w:r>
      <w:r>
        <w:rPr>
          <w:rFonts w:ascii="Times New Roman" w:hAnsi="Times New Roman" w:cs="Times New Roman"/>
          <w:color w:val="auto"/>
          <w:sz w:val="24"/>
          <w:szCs w:val="24"/>
        </w:rPr>
        <w:t>Semi-logarithmic plots of normalized EL</w:t>
      </w:r>
      <w:r>
        <w:rPr>
          <w:rFonts w:hint="eastAsia" w:ascii="Times New Roman" w:hAnsi="Times New Roman" w:cs="Times New Roman"/>
          <w:color w:val="auto"/>
          <w:sz w:val="24"/>
          <w:szCs w:val="24"/>
        </w:rPr>
        <w:t xml:space="preserve"> and </w:t>
      </w:r>
      <w:r>
        <w:rPr>
          <w:rFonts w:ascii="Times New Roman" w:hAnsi="Times New Roman" w:cs="Times New Roman"/>
          <w:color w:val="auto"/>
          <w:sz w:val="24"/>
          <w:szCs w:val="24"/>
        </w:rPr>
        <w:t xml:space="preserve">measured EQE </w:t>
      </w:r>
      <w:r>
        <w:rPr>
          <w:rFonts w:hint="eastAsia" w:ascii="Times New Roman" w:hAnsi="Times New Roman" w:cs="Times New Roman"/>
          <w:color w:val="auto"/>
          <w:sz w:val="24"/>
          <w:szCs w:val="24"/>
        </w:rPr>
        <w:t>by FTPS</w:t>
      </w:r>
      <w:r>
        <w:rPr>
          <w:rFonts w:ascii="Times New Roman" w:hAnsi="Times New Roman" w:cs="Times New Roman"/>
          <w:color w:val="auto"/>
          <w:sz w:val="24"/>
          <w:szCs w:val="24"/>
        </w:rPr>
        <w:t xml:space="preserve"> as a function of energy for devices based on </w:t>
      </w:r>
      <w:r>
        <w:rPr>
          <w:rFonts w:hint="eastAsia" w:ascii="Times New Roman" w:hAnsi="Times New Roman" w:cs="Times New Roman"/>
          <w:color w:val="auto"/>
          <w:sz w:val="24"/>
          <w:szCs w:val="24"/>
        </w:rPr>
        <w:t>D18/eC9 and D18 HS/eC9 SqP</w:t>
      </w:r>
      <w:r>
        <w:rPr>
          <w:rFonts w:ascii="Times New Roman" w:hAnsi="Times New Roman" w:cs="Times New Roman"/>
          <w:color w:val="auto"/>
          <w:sz w:val="24"/>
          <w:szCs w:val="24"/>
        </w:rPr>
        <w:t xml:space="preserve"> </w:t>
      </w:r>
      <w:r>
        <w:rPr>
          <w:rFonts w:hint="eastAsia" w:ascii="Times New Roman" w:hAnsi="Times New Roman" w:cs="Times New Roman"/>
          <w:color w:val="auto"/>
          <w:sz w:val="24"/>
          <w:szCs w:val="24"/>
        </w:rPr>
        <w:t xml:space="preserve">devices. </w:t>
      </w:r>
    </w:p>
    <w:p w14:paraId="7CF9CB2A">
      <w:pPr>
        <w:spacing w:line="360" w:lineRule="auto"/>
        <w:rPr>
          <w:rFonts w:ascii="Times New Roman" w:hAnsi="Times New Roman" w:cs="Times New Roman"/>
          <w:color w:val="auto"/>
          <w:sz w:val="24"/>
          <w:szCs w:val="24"/>
        </w:rPr>
      </w:pPr>
    </w:p>
    <w:p w14:paraId="15F40BA9">
      <w:pPr>
        <w:spacing w:line="360" w:lineRule="auto"/>
        <w:rPr>
          <w:rFonts w:ascii="Times New Roman" w:hAnsi="Times New Roman" w:cs="Times New Roman"/>
          <w:color w:val="auto"/>
          <w:sz w:val="24"/>
          <w:szCs w:val="24"/>
        </w:rPr>
      </w:pPr>
    </w:p>
    <w:p w14:paraId="4E70208B">
      <w:pPr>
        <w:spacing w:line="360" w:lineRule="auto"/>
        <w:rPr>
          <w:rFonts w:ascii="Times New Roman" w:hAnsi="Times New Roman" w:cs="Times New Roman"/>
          <w:color w:val="auto"/>
          <w:sz w:val="24"/>
          <w:szCs w:val="24"/>
        </w:rPr>
      </w:pPr>
    </w:p>
    <w:p w14:paraId="3E9D5FA5">
      <w:pPr>
        <w:spacing w:line="360" w:lineRule="auto"/>
        <w:rPr>
          <w:rFonts w:ascii="Times New Roman" w:hAnsi="Times New Roman" w:cs="Times New Roman"/>
          <w:color w:val="auto"/>
          <w:sz w:val="24"/>
          <w:szCs w:val="24"/>
        </w:rPr>
      </w:pPr>
    </w:p>
    <w:p w14:paraId="366B0D0A">
      <w:pPr>
        <w:spacing w:line="360" w:lineRule="auto"/>
        <w:rPr>
          <w:rFonts w:ascii="Times New Roman" w:hAnsi="Times New Roman" w:cs="Times New Roman"/>
          <w:color w:val="auto"/>
          <w:sz w:val="24"/>
          <w:szCs w:val="24"/>
        </w:rPr>
      </w:pPr>
    </w:p>
    <w:p w14:paraId="43E01924">
      <w:pPr>
        <w:spacing w:line="360" w:lineRule="auto"/>
        <w:rPr>
          <w:rFonts w:ascii="Times New Roman" w:hAnsi="Times New Roman" w:cs="Times New Roman"/>
          <w:color w:val="auto"/>
          <w:sz w:val="24"/>
          <w:szCs w:val="24"/>
        </w:rPr>
      </w:pPr>
    </w:p>
    <w:p w14:paraId="0731521F">
      <w:pPr>
        <w:spacing w:line="360" w:lineRule="auto"/>
        <w:rPr>
          <w:rFonts w:ascii="Times New Roman" w:hAnsi="Times New Roman" w:cs="Times New Roman"/>
          <w:color w:val="auto"/>
          <w:sz w:val="24"/>
          <w:szCs w:val="24"/>
        </w:rPr>
      </w:pPr>
    </w:p>
    <w:p w14:paraId="0A283326">
      <w:pPr>
        <w:spacing w:line="360" w:lineRule="auto"/>
        <w:rPr>
          <w:rFonts w:ascii="Times New Roman" w:hAnsi="Times New Roman" w:cs="Times New Roman"/>
          <w:color w:val="auto"/>
          <w:sz w:val="24"/>
          <w:szCs w:val="24"/>
        </w:rPr>
      </w:pPr>
    </w:p>
    <w:p w14:paraId="433F0202">
      <w:pPr>
        <w:spacing w:line="360" w:lineRule="auto"/>
        <w:rPr>
          <w:rFonts w:ascii="Times New Roman" w:hAnsi="Times New Roman" w:cs="Times New Roman"/>
          <w:color w:val="auto"/>
          <w:sz w:val="24"/>
          <w:szCs w:val="24"/>
        </w:rPr>
      </w:pPr>
    </w:p>
    <w:p w14:paraId="633CF252">
      <w:pPr>
        <w:spacing w:line="360" w:lineRule="auto"/>
        <w:rPr>
          <w:rFonts w:ascii="Times New Roman" w:hAnsi="Times New Roman" w:cs="Times New Roman"/>
          <w:color w:val="auto"/>
          <w:sz w:val="24"/>
          <w:szCs w:val="24"/>
        </w:rPr>
      </w:pPr>
    </w:p>
    <w:p w14:paraId="34292DB3">
      <w:pPr>
        <w:spacing w:line="360" w:lineRule="auto"/>
        <w:rPr>
          <w:rFonts w:ascii="Times New Roman" w:hAnsi="Times New Roman" w:cs="Times New Roman"/>
          <w:color w:val="auto"/>
          <w:sz w:val="24"/>
          <w:szCs w:val="24"/>
        </w:rPr>
      </w:pPr>
    </w:p>
    <w:p w14:paraId="2ACAF3CF">
      <w:pPr>
        <w:spacing w:line="360" w:lineRule="auto"/>
        <w:rPr>
          <w:rFonts w:ascii="Times New Roman" w:hAnsi="Times New Roman" w:cs="Times New Roman"/>
          <w:color w:val="auto"/>
          <w:sz w:val="24"/>
          <w:szCs w:val="24"/>
        </w:rPr>
      </w:pPr>
      <w:r>
        <w:rPr>
          <w:rFonts w:ascii="Times New Roman" w:hAnsi="Times New Roman" w:cs="Times New Roman"/>
          <w:b/>
          <w:bCs/>
          <w:color w:val="auto"/>
          <w:sz w:val="24"/>
          <w:szCs w:val="24"/>
        </w:rPr>
        <w:t>Table S</w:t>
      </w:r>
      <w:r>
        <w:rPr>
          <w:rFonts w:hint="eastAsia" w:ascii="Times New Roman" w:hAnsi="Times New Roman" w:cs="Times New Roman"/>
          <w:b/>
          <w:bCs/>
          <w:color w:val="auto"/>
          <w:sz w:val="24"/>
          <w:szCs w:val="24"/>
          <w:lang w:val="en-US" w:eastAsia="zh-CN"/>
        </w:rPr>
        <w:t>6</w:t>
      </w:r>
      <w:r>
        <w:rPr>
          <w:rFonts w:ascii="Times New Roman" w:hAnsi="Times New Roman" w:cs="Times New Roman"/>
          <w:b/>
          <w:bCs/>
          <w:color w:val="auto"/>
          <w:sz w:val="24"/>
          <w:szCs w:val="24"/>
        </w:rPr>
        <w:t>.</w:t>
      </w:r>
      <w:r>
        <w:rPr>
          <w:rFonts w:ascii="Times New Roman" w:hAnsi="Times New Roman" w:cs="Times New Roman"/>
          <w:color w:val="auto"/>
          <w:sz w:val="24"/>
          <w:szCs w:val="24"/>
        </w:rPr>
        <w:t xml:space="preserve"> Detailed</w:t>
      </w:r>
      <w:bookmarkStart w:id="15" w:name="_Hlk163401982"/>
      <w:r>
        <w:rPr>
          <w:rFonts w:ascii="Times New Roman" w:hAnsi="Times New Roman" w:cs="Times New Roman"/>
          <w:color w:val="auto"/>
          <w:sz w:val="24"/>
          <w:szCs w:val="24"/>
        </w:rPr>
        <w:t xml:space="preserve"> </w:t>
      </w:r>
      <w:r>
        <w:rPr>
          <w:rFonts w:ascii="Times New Roman" w:hAnsi="Times New Roman" w:cs="Times New Roman"/>
          <w:i/>
          <w:iCs/>
          <w:color w:val="auto"/>
          <w:sz w:val="24"/>
          <w:szCs w:val="24"/>
        </w:rPr>
        <w:t>E</w:t>
      </w:r>
      <w:r>
        <w:rPr>
          <w:rFonts w:ascii="Times New Roman" w:hAnsi="Times New Roman" w:cs="Times New Roman"/>
          <w:color w:val="auto"/>
          <w:sz w:val="24"/>
          <w:szCs w:val="24"/>
          <w:vertAlign w:val="subscript"/>
        </w:rPr>
        <w:t>loss</w:t>
      </w:r>
      <w:r>
        <w:rPr>
          <w:rFonts w:ascii="Times New Roman" w:hAnsi="Times New Roman" w:cs="Times New Roman"/>
          <w:color w:val="auto"/>
          <w:sz w:val="24"/>
          <w:szCs w:val="24"/>
        </w:rPr>
        <w:t xml:space="preserve"> parameters</w:t>
      </w:r>
      <w:bookmarkEnd w:id="15"/>
      <w:r>
        <w:rPr>
          <w:rFonts w:hint="eastAsia" w:ascii="Times New Roman" w:hAnsi="Times New Roman" w:cs="Times New Roman"/>
          <w:color w:val="auto"/>
          <w:sz w:val="24"/>
          <w:szCs w:val="24"/>
        </w:rPr>
        <w:t xml:space="preserve"> in D18/eC9 and D18 HS/eC9 SqP devices</w:t>
      </w:r>
    </w:p>
    <w:tbl>
      <w:tblPr>
        <w:tblStyle w:val="9"/>
        <w:tblW w:w="4964" w:type="pct"/>
        <w:tblInd w:w="0" w:type="dxa"/>
        <w:tblLayout w:type="autofit"/>
        <w:tblCellMar>
          <w:top w:w="0" w:type="dxa"/>
          <w:left w:w="0" w:type="dxa"/>
          <w:bottom w:w="0" w:type="dxa"/>
          <w:right w:w="0" w:type="dxa"/>
        </w:tblCellMar>
      </w:tblPr>
      <w:tblGrid>
        <w:gridCol w:w="1209"/>
        <w:gridCol w:w="911"/>
        <w:gridCol w:w="843"/>
        <w:gridCol w:w="880"/>
        <w:gridCol w:w="1039"/>
        <w:gridCol w:w="1044"/>
        <w:gridCol w:w="775"/>
        <w:gridCol w:w="880"/>
        <w:gridCol w:w="880"/>
      </w:tblGrid>
      <w:tr w14:paraId="7C8010A6">
        <w:tblPrEx>
          <w:tblCellMar>
            <w:top w:w="0" w:type="dxa"/>
            <w:left w:w="0" w:type="dxa"/>
            <w:bottom w:w="0" w:type="dxa"/>
            <w:right w:w="0" w:type="dxa"/>
          </w:tblCellMar>
        </w:tblPrEx>
        <w:trPr>
          <w:trHeight w:val="532" w:hRule="atLeast"/>
        </w:trPr>
        <w:tc>
          <w:tcPr>
            <w:tcW w:w="714" w:type="pct"/>
            <w:tcBorders>
              <w:top w:val="single" w:color="auto" w:sz="12" w:space="0"/>
              <w:left w:val="nil"/>
              <w:bottom w:val="single" w:color="auto" w:sz="12" w:space="0"/>
              <w:right w:val="nil"/>
            </w:tcBorders>
            <w:tcMar>
              <w:top w:w="15" w:type="dxa"/>
              <w:left w:w="108" w:type="dxa"/>
              <w:bottom w:w="0" w:type="dxa"/>
              <w:right w:w="108" w:type="dxa"/>
            </w:tcMar>
            <w:vAlign w:val="center"/>
          </w:tcPr>
          <w:p w14:paraId="46F8267D">
            <w:pPr>
              <w:spacing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t>Condition</w:t>
            </w:r>
          </w:p>
        </w:tc>
        <w:tc>
          <w:tcPr>
            <w:tcW w:w="538" w:type="pct"/>
            <w:tcBorders>
              <w:top w:val="single" w:color="auto" w:sz="12" w:space="0"/>
              <w:left w:val="nil"/>
              <w:bottom w:val="single" w:color="auto" w:sz="12" w:space="0"/>
              <w:right w:val="nil"/>
            </w:tcBorders>
            <w:tcMar>
              <w:top w:w="15" w:type="dxa"/>
              <w:left w:w="108" w:type="dxa"/>
              <w:bottom w:w="0" w:type="dxa"/>
              <w:right w:w="108" w:type="dxa"/>
            </w:tcMar>
            <w:vAlign w:val="center"/>
          </w:tcPr>
          <w:p w14:paraId="38E95E88">
            <w:pPr>
              <w:spacing w:line="360" w:lineRule="auto"/>
              <w:rPr>
                <w:rFonts w:ascii="Times New Roman" w:hAnsi="Times New Roman" w:cs="Times New Roman"/>
                <w:i/>
                <w:iCs/>
                <w:color w:val="auto"/>
                <w:sz w:val="24"/>
                <w:szCs w:val="24"/>
              </w:rPr>
            </w:pPr>
            <w:r>
              <w:rPr>
                <w:rFonts w:ascii="Times New Roman" w:hAnsi="Times New Roman" w:cs="Times New Roman"/>
                <w:i/>
                <w:iCs/>
                <w:color w:val="auto"/>
                <w:sz w:val="24"/>
                <w:szCs w:val="24"/>
              </w:rPr>
              <w:t>V</w:t>
            </w:r>
            <w:r>
              <w:rPr>
                <w:rFonts w:ascii="Times New Roman" w:hAnsi="Times New Roman" w:cs="Times New Roman"/>
                <w:color w:val="auto"/>
                <w:position w:val="-5"/>
                <w:sz w:val="24"/>
                <w:szCs w:val="24"/>
                <w:vertAlign w:val="subscript"/>
              </w:rPr>
              <w:t>OC</w:t>
            </w:r>
            <w:r>
              <w:rPr>
                <w:rFonts w:ascii="Times New Roman" w:hAnsi="Times New Roman" w:cs="Times New Roman"/>
                <w:color w:val="auto"/>
                <w:position w:val="6"/>
                <w:sz w:val="24"/>
                <w:szCs w:val="24"/>
                <w:vertAlign w:val="superscript"/>
              </w:rPr>
              <w:t>a)</w:t>
            </w:r>
            <w:r>
              <w:rPr>
                <w:rFonts w:hint="eastAsia" w:ascii="Times New Roman" w:hAnsi="Times New Roman" w:cs="Times New Roman"/>
                <w:color w:val="auto"/>
                <w:position w:val="6"/>
                <w:sz w:val="24"/>
                <w:szCs w:val="24"/>
              </w:rPr>
              <w:t xml:space="preserve"> </w:t>
            </w:r>
            <w:r>
              <w:rPr>
                <w:rFonts w:ascii="Times New Roman" w:hAnsi="Times New Roman" w:cs="Times New Roman"/>
                <w:color w:val="auto"/>
                <w:sz w:val="24"/>
                <w:szCs w:val="24"/>
              </w:rPr>
              <w:t>(V)</w:t>
            </w:r>
          </w:p>
        </w:tc>
        <w:tc>
          <w:tcPr>
            <w:tcW w:w="498" w:type="pct"/>
            <w:tcBorders>
              <w:top w:val="single" w:color="auto" w:sz="12" w:space="0"/>
              <w:left w:val="nil"/>
              <w:bottom w:val="single" w:color="auto" w:sz="12" w:space="0"/>
              <w:right w:val="nil"/>
            </w:tcBorders>
            <w:tcMar>
              <w:top w:w="15" w:type="dxa"/>
              <w:left w:w="108" w:type="dxa"/>
              <w:bottom w:w="0" w:type="dxa"/>
              <w:right w:w="108" w:type="dxa"/>
            </w:tcMar>
            <w:vAlign w:val="center"/>
          </w:tcPr>
          <w:p w14:paraId="6BDC4811">
            <w:pPr>
              <w:spacing w:line="360" w:lineRule="auto"/>
              <w:rPr>
                <w:rFonts w:ascii="Times New Roman" w:hAnsi="Times New Roman" w:cs="Times New Roman"/>
                <w:i/>
                <w:iCs/>
                <w:color w:val="auto"/>
                <w:sz w:val="24"/>
                <w:szCs w:val="24"/>
              </w:rPr>
            </w:pPr>
            <w:r>
              <w:rPr>
                <w:rFonts w:ascii="Times New Roman" w:hAnsi="Times New Roman" w:cs="Times New Roman"/>
                <w:i/>
                <w:iCs/>
                <w:color w:val="auto"/>
                <w:sz w:val="24"/>
                <w:szCs w:val="24"/>
              </w:rPr>
              <w:t>E</w:t>
            </w:r>
            <w:r>
              <w:rPr>
                <w:rFonts w:ascii="Times New Roman" w:hAnsi="Times New Roman" w:cs="Times New Roman"/>
                <w:color w:val="auto"/>
                <w:position w:val="-5"/>
                <w:sz w:val="24"/>
                <w:szCs w:val="24"/>
                <w:vertAlign w:val="subscript"/>
              </w:rPr>
              <w:t>g</w:t>
            </w:r>
            <w:r>
              <w:rPr>
                <w:rFonts w:ascii="Times New Roman" w:hAnsi="Times New Roman" w:cs="Times New Roman"/>
                <w:color w:val="auto"/>
                <w:position w:val="6"/>
                <w:sz w:val="24"/>
                <w:szCs w:val="24"/>
                <w:vertAlign w:val="superscript"/>
              </w:rPr>
              <w:t>b)</w:t>
            </w:r>
            <w:r>
              <w:rPr>
                <w:rFonts w:hint="eastAsia" w:ascii="Times New Roman" w:hAnsi="Times New Roman" w:cs="Times New Roman"/>
                <w:color w:val="auto"/>
                <w:position w:val="6"/>
                <w:sz w:val="24"/>
                <w:szCs w:val="24"/>
              </w:rPr>
              <w:t xml:space="preserve"> </w:t>
            </w:r>
            <w:r>
              <w:rPr>
                <w:rFonts w:ascii="Times New Roman" w:hAnsi="Times New Roman" w:cs="Times New Roman"/>
                <w:color w:val="auto"/>
                <w:sz w:val="24"/>
                <w:szCs w:val="24"/>
              </w:rPr>
              <w:t>(eV)</w:t>
            </w:r>
          </w:p>
        </w:tc>
        <w:tc>
          <w:tcPr>
            <w:tcW w:w="520" w:type="pct"/>
            <w:tcBorders>
              <w:top w:val="single" w:color="auto" w:sz="12" w:space="0"/>
              <w:left w:val="nil"/>
              <w:bottom w:val="single" w:color="auto" w:sz="12" w:space="0"/>
              <w:right w:val="nil"/>
            </w:tcBorders>
            <w:tcMar>
              <w:top w:w="15" w:type="dxa"/>
              <w:left w:w="108" w:type="dxa"/>
              <w:bottom w:w="0" w:type="dxa"/>
              <w:right w:w="108" w:type="dxa"/>
            </w:tcMar>
            <w:vAlign w:val="center"/>
          </w:tcPr>
          <w:p w14:paraId="7CC5AB02">
            <w:pPr>
              <w:spacing w:line="360" w:lineRule="auto"/>
              <w:rPr>
                <w:rFonts w:ascii="Times New Roman" w:hAnsi="Times New Roman" w:cs="Times New Roman"/>
                <w:i/>
                <w:iCs/>
                <w:color w:val="auto"/>
                <w:sz w:val="24"/>
                <w:szCs w:val="24"/>
              </w:rPr>
            </w:pPr>
            <w:r>
              <w:rPr>
                <w:rFonts w:ascii="Times New Roman" w:hAnsi="Times New Roman" w:cs="Times New Roman"/>
                <w:i/>
                <w:iCs/>
                <w:color w:val="auto"/>
                <w:sz w:val="24"/>
                <w:szCs w:val="24"/>
              </w:rPr>
              <w:t>qV</w:t>
            </w:r>
            <w:r>
              <w:rPr>
                <w:rFonts w:ascii="Times New Roman" w:hAnsi="Times New Roman" w:cs="Times New Roman"/>
                <w:color w:val="auto"/>
                <w:position w:val="-5"/>
                <w:sz w:val="24"/>
                <w:szCs w:val="24"/>
                <w:vertAlign w:val="subscript"/>
              </w:rPr>
              <w:t>loss</w:t>
            </w:r>
            <w:r>
              <w:rPr>
                <w:rFonts w:hint="eastAsia" w:ascii="Times New Roman" w:hAnsi="Times New Roman" w:cs="Times New Roman"/>
                <w:color w:val="auto"/>
                <w:position w:val="-5"/>
                <w:sz w:val="24"/>
                <w:szCs w:val="24"/>
              </w:rPr>
              <w:t xml:space="preserve"> </w:t>
            </w:r>
            <w:r>
              <w:rPr>
                <w:rFonts w:ascii="Times New Roman" w:hAnsi="Times New Roman" w:cs="Times New Roman"/>
                <w:color w:val="auto"/>
                <w:sz w:val="24"/>
                <w:szCs w:val="24"/>
              </w:rPr>
              <w:t>(eV)</w:t>
            </w:r>
          </w:p>
        </w:tc>
        <w:tc>
          <w:tcPr>
            <w:tcW w:w="614" w:type="pct"/>
            <w:tcBorders>
              <w:top w:val="single" w:color="auto" w:sz="12" w:space="0"/>
              <w:left w:val="nil"/>
              <w:bottom w:val="single" w:color="auto" w:sz="12" w:space="0"/>
              <w:right w:val="nil"/>
            </w:tcBorders>
            <w:tcMar>
              <w:top w:w="15" w:type="dxa"/>
              <w:left w:w="108" w:type="dxa"/>
              <w:bottom w:w="0" w:type="dxa"/>
              <w:right w:w="108" w:type="dxa"/>
            </w:tcMar>
            <w:vAlign w:val="center"/>
          </w:tcPr>
          <w:p w14:paraId="463E6F3A">
            <w:pPr>
              <w:widowControl/>
              <w:snapToGrid w:val="0"/>
              <w:spacing w:line="360" w:lineRule="auto"/>
              <w:jc w:val="center"/>
              <w:rPr>
                <w:rFonts w:ascii="Times New Roman" w:hAnsi="Times New Roman" w:cs="Times New Roman"/>
                <w:color w:val="auto"/>
                <w:kern w:val="0"/>
                <w:sz w:val="24"/>
                <w:szCs w:val="24"/>
              </w:rPr>
            </w:pPr>
            <w:r>
              <w:rPr>
                <w:rFonts w:ascii="Times New Roman" w:hAnsi="Times New Roman" w:cs="Times New Roman"/>
                <w:i/>
                <w:iCs/>
                <w:color w:val="auto"/>
                <w:sz w:val="24"/>
                <w:szCs w:val="24"/>
              </w:rPr>
              <w:t>V</w:t>
            </w:r>
            <w:r>
              <w:rPr>
                <w:rFonts w:ascii="Times New Roman" w:hAnsi="Times New Roman" w:cs="Times New Roman"/>
                <w:color w:val="auto"/>
                <w:position w:val="-5"/>
                <w:sz w:val="24"/>
                <w:szCs w:val="24"/>
                <w:vertAlign w:val="subscript"/>
              </w:rPr>
              <w:t xml:space="preserve">OC </w:t>
            </w:r>
            <w:r>
              <w:rPr>
                <w:rFonts w:ascii="Times New Roman" w:hAnsi="Times New Roman" w:cs="Times New Roman"/>
                <w:color w:val="auto"/>
                <w:position w:val="6"/>
                <w:sz w:val="24"/>
                <w:szCs w:val="24"/>
                <w:vertAlign w:val="superscript"/>
              </w:rPr>
              <w:t>SQ c)</w:t>
            </w:r>
          </w:p>
          <w:p w14:paraId="643DD584">
            <w:pPr>
              <w:spacing w:line="360" w:lineRule="auto"/>
              <w:rPr>
                <w:rFonts w:ascii="Times New Roman" w:hAnsi="Times New Roman" w:cs="Times New Roman"/>
                <w:i/>
                <w:iCs/>
                <w:color w:val="auto"/>
                <w:sz w:val="24"/>
                <w:szCs w:val="24"/>
              </w:rPr>
            </w:pPr>
            <w:r>
              <w:rPr>
                <w:rFonts w:ascii="Times New Roman" w:hAnsi="Times New Roman" w:cs="Times New Roman"/>
                <w:color w:val="auto"/>
                <w:sz w:val="24"/>
                <w:szCs w:val="24"/>
              </w:rPr>
              <w:t>(V)</w:t>
            </w:r>
          </w:p>
        </w:tc>
        <w:tc>
          <w:tcPr>
            <w:tcW w:w="617" w:type="pct"/>
            <w:tcBorders>
              <w:top w:val="single" w:color="auto" w:sz="12" w:space="0"/>
              <w:left w:val="nil"/>
              <w:bottom w:val="single" w:color="auto" w:sz="12" w:space="0"/>
              <w:right w:val="nil"/>
            </w:tcBorders>
            <w:tcMar>
              <w:top w:w="15" w:type="dxa"/>
              <w:left w:w="108" w:type="dxa"/>
              <w:bottom w:w="0" w:type="dxa"/>
              <w:right w:w="108" w:type="dxa"/>
            </w:tcMar>
            <w:vAlign w:val="center"/>
          </w:tcPr>
          <w:p w14:paraId="333513CD">
            <w:pPr>
              <w:widowControl/>
              <w:snapToGrid w:val="0"/>
              <w:spacing w:line="360" w:lineRule="auto"/>
              <w:jc w:val="center"/>
              <w:rPr>
                <w:rFonts w:ascii="Times New Roman" w:hAnsi="Times New Roman" w:cs="Times New Roman"/>
                <w:color w:val="auto"/>
                <w:kern w:val="0"/>
                <w:sz w:val="24"/>
                <w:szCs w:val="24"/>
              </w:rPr>
            </w:pPr>
            <w:r>
              <w:rPr>
                <w:rFonts w:ascii="Times New Roman" w:hAnsi="Times New Roman" w:cs="Times New Roman"/>
                <w:i/>
                <w:iCs/>
                <w:color w:val="auto"/>
                <w:sz w:val="24"/>
                <w:szCs w:val="24"/>
              </w:rPr>
              <w:t>V</w:t>
            </w:r>
            <w:r>
              <w:rPr>
                <w:rFonts w:ascii="Times New Roman" w:hAnsi="Times New Roman" w:cs="Times New Roman"/>
                <w:color w:val="auto"/>
                <w:position w:val="-5"/>
                <w:sz w:val="24"/>
                <w:szCs w:val="24"/>
                <w:vertAlign w:val="subscript"/>
              </w:rPr>
              <w:t xml:space="preserve">OC </w:t>
            </w:r>
            <w:r>
              <w:rPr>
                <w:rFonts w:ascii="Times New Roman" w:hAnsi="Times New Roman" w:cs="Times New Roman"/>
                <w:color w:val="auto"/>
                <w:position w:val="6"/>
                <w:sz w:val="24"/>
                <w:szCs w:val="24"/>
                <w:vertAlign w:val="superscript"/>
              </w:rPr>
              <w:t>rad d)</w:t>
            </w:r>
          </w:p>
          <w:p w14:paraId="16457A10">
            <w:pPr>
              <w:spacing w:line="360" w:lineRule="auto"/>
              <w:rPr>
                <w:rFonts w:ascii="Times New Roman" w:hAnsi="Times New Roman" w:cs="Times New Roman"/>
                <w:i/>
                <w:iCs/>
                <w:color w:val="auto"/>
                <w:sz w:val="24"/>
                <w:szCs w:val="24"/>
              </w:rPr>
            </w:pPr>
            <w:r>
              <w:rPr>
                <w:rFonts w:ascii="Times New Roman" w:hAnsi="Times New Roman" w:cs="Times New Roman"/>
                <w:color w:val="auto"/>
                <w:sz w:val="24"/>
                <w:szCs w:val="24"/>
              </w:rPr>
              <w:t>(V)</w:t>
            </w:r>
          </w:p>
        </w:tc>
        <w:tc>
          <w:tcPr>
            <w:tcW w:w="458" w:type="pct"/>
            <w:tcBorders>
              <w:top w:val="single" w:color="auto" w:sz="12" w:space="0"/>
              <w:left w:val="nil"/>
              <w:bottom w:val="single" w:color="auto" w:sz="12" w:space="0"/>
              <w:right w:val="nil"/>
            </w:tcBorders>
            <w:tcMar>
              <w:top w:w="15" w:type="dxa"/>
              <w:left w:w="108" w:type="dxa"/>
              <w:bottom w:w="0" w:type="dxa"/>
              <w:right w:w="108" w:type="dxa"/>
            </w:tcMar>
            <w:vAlign w:val="center"/>
          </w:tcPr>
          <w:p w14:paraId="02688272">
            <w:pPr>
              <w:widowControl/>
              <w:snapToGri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sz w:val="24"/>
                <w:szCs w:val="24"/>
              </w:rPr>
              <w:t>Δ</w:t>
            </w:r>
            <w:r>
              <w:rPr>
                <w:rFonts w:ascii="Times New Roman" w:hAnsi="Times New Roman" w:cs="Times New Roman"/>
                <w:i/>
                <w:iCs/>
                <w:color w:val="auto"/>
                <w:sz w:val="24"/>
                <w:szCs w:val="24"/>
              </w:rPr>
              <w:t>E</w:t>
            </w:r>
            <w:r>
              <w:rPr>
                <w:rFonts w:ascii="Times New Roman" w:hAnsi="Times New Roman" w:cs="Times New Roman"/>
                <w:color w:val="auto"/>
                <w:position w:val="-5"/>
                <w:sz w:val="24"/>
                <w:szCs w:val="24"/>
                <w:vertAlign w:val="subscript"/>
              </w:rPr>
              <w:t>1</w:t>
            </w:r>
          </w:p>
          <w:p w14:paraId="7E60FF97">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(eV)</w:t>
            </w:r>
          </w:p>
        </w:tc>
        <w:tc>
          <w:tcPr>
            <w:tcW w:w="520" w:type="pct"/>
            <w:tcBorders>
              <w:top w:val="single" w:color="auto" w:sz="12" w:space="0"/>
              <w:left w:val="nil"/>
              <w:bottom w:val="single" w:color="auto" w:sz="12" w:space="0"/>
              <w:right w:val="nil"/>
            </w:tcBorders>
            <w:tcMar>
              <w:top w:w="15" w:type="dxa"/>
              <w:left w:w="108" w:type="dxa"/>
              <w:bottom w:w="0" w:type="dxa"/>
              <w:right w:w="108" w:type="dxa"/>
            </w:tcMar>
            <w:vAlign w:val="center"/>
          </w:tcPr>
          <w:p w14:paraId="6A3A3C31">
            <w:pPr>
              <w:widowControl/>
              <w:snapToGri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sz w:val="24"/>
                <w:szCs w:val="24"/>
              </w:rPr>
              <w:t>Δ</w:t>
            </w:r>
            <w:r>
              <w:rPr>
                <w:rFonts w:ascii="Times New Roman" w:hAnsi="Times New Roman" w:cs="Times New Roman"/>
                <w:i/>
                <w:iCs/>
                <w:color w:val="auto"/>
                <w:sz w:val="24"/>
                <w:szCs w:val="24"/>
              </w:rPr>
              <w:t>E</w:t>
            </w:r>
            <w:r>
              <w:rPr>
                <w:rFonts w:ascii="Times New Roman" w:hAnsi="Times New Roman" w:cs="Times New Roman"/>
                <w:color w:val="auto"/>
                <w:position w:val="-5"/>
                <w:sz w:val="24"/>
                <w:szCs w:val="24"/>
                <w:vertAlign w:val="subscript"/>
              </w:rPr>
              <w:t>2</w:t>
            </w:r>
            <w:r>
              <w:rPr>
                <w:rFonts w:ascii="Times New Roman" w:hAnsi="Times New Roman" w:cs="Times New Roman"/>
                <w:color w:val="auto"/>
                <w:position w:val="6"/>
                <w:sz w:val="24"/>
                <w:szCs w:val="24"/>
                <w:vertAlign w:val="superscript"/>
              </w:rPr>
              <w:t>e)</w:t>
            </w:r>
          </w:p>
          <w:p w14:paraId="572409C7">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(eV)</w:t>
            </w:r>
          </w:p>
        </w:tc>
        <w:tc>
          <w:tcPr>
            <w:tcW w:w="519" w:type="pct"/>
            <w:tcBorders>
              <w:top w:val="single" w:color="auto" w:sz="12" w:space="0"/>
              <w:left w:val="nil"/>
              <w:bottom w:val="single" w:color="auto" w:sz="12" w:space="0"/>
              <w:right w:val="nil"/>
            </w:tcBorders>
            <w:tcMar>
              <w:top w:w="15" w:type="dxa"/>
              <w:left w:w="108" w:type="dxa"/>
              <w:bottom w:w="0" w:type="dxa"/>
              <w:right w:w="108" w:type="dxa"/>
            </w:tcMar>
            <w:vAlign w:val="center"/>
          </w:tcPr>
          <w:p w14:paraId="1C97F94D">
            <w:pPr>
              <w:widowControl/>
              <w:snapToGrid w:val="0"/>
              <w:spacing w:line="360" w:lineRule="auto"/>
              <w:jc w:val="center"/>
              <w:rPr>
                <w:rFonts w:ascii="Times New Roman" w:hAnsi="Times New Roman" w:cs="Times New Roman"/>
                <w:color w:val="auto"/>
                <w:kern w:val="0"/>
                <w:sz w:val="24"/>
                <w:szCs w:val="24"/>
              </w:rPr>
            </w:pPr>
            <w:r>
              <w:rPr>
                <w:rFonts w:ascii="Times New Roman" w:hAnsi="Times New Roman" w:cs="Times New Roman"/>
                <w:color w:val="auto"/>
                <w:sz w:val="24"/>
                <w:szCs w:val="24"/>
              </w:rPr>
              <w:t>Δ</w:t>
            </w:r>
            <w:r>
              <w:rPr>
                <w:rFonts w:ascii="Times New Roman" w:hAnsi="Times New Roman" w:cs="Times New Roman"/>
                <w:i/>
                <w:iCs/>
                <w:color w:val="auto"/>
                <w:sz w:val="24"/>
                <w:szCs w:val="24"/>
              </w:rPr>
              <w:t>E</w:t>
            </w:r>
            <w:r>
              <w:rPr>
                <w:rFonts w:ascii="Times New Roman" w:hAnsi="Times New Roman" w:cs="Times New Roman"/>
                <w:color w:val="auto"/>
                <w:position w:val="-5"/>
                <w:sz w:val="24"/>
                <w:szCs w:val="24"/>
                <w:vertAlign w:val="subscript"/>
              </w:rPr>
              <w:t>3</w:t>
            </w:r>
            <w:r>
              <w:rPr>
                <w:rFonts w:ascii="Times New Roman" w:hAnsi="Times New Roman" w:cs="Times New Roman"/>
                <w:color w:val="auto"/>
                <w:position w:val="6"/>
                <w:sz w:val="24"/>
                <w:szCs w:val="24"/>
                <w:vertAlign w:val="superscript"/>
              </w:rPr>
              <w:t>f)</w:t>
            </w:r>
          </w:p>
          <w:p w14:paraId="0D43C8EE">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(eV)</w:t>
            </w:r>
          </w:p>
        </w:tc>
      </w:tr>
      <w:tr w14:paraId="0754281B">
        <w:tblPrEx>
          <w:tblCellMar>
            <w:top w:w="0" w:type="dxa"/>
            <w:left w:w="0" w:type="dxa"/>
            <w:bottom w:w="0" w:type="dxa"/>
            <w:right w:w="0" w:type="dxa"/>
          </w:tblCellMar>
        </w:tblPrEx>
        <w:trPr>
          <w:trHeight w:val="532" w:hRule="atLeast"/>
        </w:trPr>
        <w:tc>
          <w:tcPr>
            <w:tcW w:w="714" w:type="pct"/>
            <w:tcBorders>
              <w:top w:val="single" w:color="auto" w:sz="12" w:space="0"/>
              <w:left w:val="nil"/>
              <w:right w:val="nil"/>
            </w:tcBorders>
            <w:tcMar>
              <w:top w:w="15" w:type="dxa"/>
              <w:left w:w="108" w:type="dxa"/>
              <w:bottom w:w="0" w:type="dxa"/>
              <w:right w:w="108" w:type="dxa"/>
            </w:tcMar>
            <w:vAlign w:val="center"/>
          </w:tcPr>
          <w:p w14:paraId="580BA75D">
            <w:pPr>
              <w:spacing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t>D18/eC9</w:t>
            </w:r>
          </w:p>
        </w:tc>
        <w:tc>
          <w:tcPr>
            <w:tcW w:w="538" w:type="pct"/>
            <w:tcBorders>
              <w:top w:val="single" w:color="auto" w:sz="12" w:space="0"/>
              <w:left w:val="nil"/>
              <w:right w:val="nil"/>
            </w:tcBorders>
            <w:tcMar>
              <w:top w:w="15" w:type="dxa"/>
              <w:left w:w="108" w:type="dxa"/>
              <w:bottom w:w="0" w:type="dxa"/>
              <w:right w:w="108" w:type="dxa"/>
            </w:tcMar>
            <w:vAlign w:val="center"/>
          </w:tcPr>
          <w:p w14:paraId="52208CC0">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0.850</w:t>
            </w:r>
          </w:p>
        </w:tc>
        <w:tc>
          <w:tcPr>
            <w:tcW w:w="498" w:type="pct"/>
            <w:tcBorders>
              <w:top w:val="single" w:color="auto" w:sz="12" w:space="0"/>
              <w:left w:val="nil"/>
              <w:right w:val="nil"/>
            </w:tcBorders>
            <w:tcMar>
              <w:top w:w="15" w:type="dxa"/>
              <w:left w:w="108" w:type="dxa"/>
              <w:bottom w:w="0" w:type="dxa"/>
              <w:right w:w="108" w:type="dxa"/>
            </w:tcMar>
            <w:vAlign w:val="center"/>
          </w:tcPr>
          <w:p w14:paraId="45C48627">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1.391</w:t>
            </w:r>
          </w:p>
        </w:tc>
        <w:tc>
          <w:tcPr>
            <w:tcW w:w="520" w:type="pct"/>
            <w:tcBorders>
              <w:top w:val="single" w:color="auto" w:sz="12" w:space="0"/>
              <w:left w:val="nil"/>
              <w:right w:val="nil"/>
            </w:tcBorders>
            <w:tcMar>
              <w:top w:w="15" w:type="dxa"/>
              <w:left w:w="108" w:type="dxa"/>
              <w:bottom w:w="0" w:type="dxa"/>
              <w:right w:w="108" w:type="dxa"/>
            </w:tcMar>
            <w:vAlign w:val="center"/>
          </w:tcPr>
          <w:p w14:paraId="1F5B6F4B">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0.542</w:t>
            </w:r>
          </w:p>
        </w:tc>
        <w:tc>
          <w:tcPr>
            <w:tcW w:w="614" w:type="pct"/>
            <w:tcBorders>
              <w:top w:val="single" w:color="auto" w:sz="12" w:space="0"/>
              <w:left w:val="nil"/>
              <w:right w:val="nil"/>
            </w:tcBorders>
            <w:tcMar>
              <w:top w:w="15" w:type="dxa"/>
              <w:left w:w="108" w:type="dxa"/>
              <w:bottom w:w="0" w:type="dxa"/>
              <w:right w:w="108" w:type="dxa"/>
            </w:tcMar>
            <w:vAlign w:val="center"/>
          </w:tcPr>
          <w:p w14:paraId="11C96405">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1.131</w:t>
            </w:r>
          </w:p>
        </w:tc>
        <w:tc>
          <w:tcPr>
            <w:tcW w:w="617" w:type="pct"/>
            <w:tcBorders>
              <w:top w:val="single" w:color="auto" w:sz="12" w:space="0"/>
              <w:left w:val="nil"/>
              <w:right w:val="nil"/>
            </w:tcBorders>
            <w:tcMar>
              <w:top w:w="15" w:type="dxa"/>
              <w:left w:w="108" w:type="dxa"/>
              <w:bottom w:w="0" w:type="dxa"/>
              <w:right w:w="108" w:type="dxa"/>
            </w:tcMar>
            <w:vAlign w:val="center"/>
          </w:tcPr>
          <w:p w14:paraId="760ECA23">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1.081</w:t>
            </w:r>
          </w:p>
        </w:tc>
        <w:tc>
          <w:tcPr>
            <w:tcW w:w="458" w:type="pct"/>
            <w:tcBorders>
              <w:top w:val="single" w:color="auto" w:sz="12" w:space="0"/>
              <w:left w:val="nil"/>
              <w:right w:val="nil"/>
            </w:tcBorders>
            <w:tcMar>
              <w:top w:w="15" w:type="dxa"/>
              <w:left w:w="108" w:type="dxa"/>
              <w:bottom w:w="0" w:type="dxa"/>
              <w:right w:w="108" w:type="dxa"/>
            </w:tcMar>
            <w:vAlign w:val="center"/>
          </w:tcPr>
          <w:p w14:paraId="306D9501">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0.261</w:t>
            </w:r>
          </w:p>
        </w:tc>
        <w:tc>
          <w:tcPr>
            <w:tcW w:w="520" w:type="pct"/>
            <w:tcBorders>
              <w:top w:val="single" w:color="auto" w:sz="12" w:space="0"/>
              <w:left w:val="nil"/>
              <w:right w:val="nil"/>
            </w:tcBorders>
            <w:tcMar>
              <w:top w:w="15" w:type="dxa"/>
              <w:left w:w="108" w:type="dxa"/>
              <w:bottom w:w="0" w:type="dxa"/>
              <w:right w:w="108" w:type="dxa"/>
            </w:tcMar>
            <w:vAlign w:val="center"/>
          </w:tcPr>
          <w:p w14:paraId="76FA1D9A">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0.050</w:t>
            </w:r>
          </w:p>
        </w:tc>
        <w:tc>
          <w:tcPr>
            <w:tcW w:w="519" w:type="pct"/>
            <w:tcBorders>
              <w:top w:val="single" w:color="auto" w:sz="12" w:space="0"/>
              <w:left w:val="nil"/>
              <w:right w:val="nil"/>
            </w:tcBorders>
            <w:tcMar>
              <w:top w:w="15" w:type="dxa"/>
              <w:left w:w="108" w:type="dxa"/>
              <w:bottom w:w="0" w:type="dxa"/>
              <w:right w:w="108" w:type="dxa"/>
            </w:tcMar>
            <w:vAlign w:val="center"/>
          </w:tcPr>
          <w:p w14:paraId="744E9FC4">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0.231</w:t>
            </w:r>
          </w:p>
        </w:tc>
      </w:tr>
      <w:tr w14:paraId="47A8586F">
        <w:tblPrEx>
          <w:tblCellMar>
            <w:top w:w="0" w:type="dxa"/>
            <w:left w:w="0" w:type="dxa"/>
            <w:bottom w:w="0" w:type="dxa"/>
            <w:right w:w="0" w:type="dxa"/>
          </w:tblCellMar>
        </w:tblPrEx>
        <w:trPr>
          <w:trHeight w:val="532" w:hRule="atLeast"/>
        </w:trPr>
        <w:tc>
          <w:tcPr>
            <w:tcW w:w="714" w:type="pct"/>
            <w:tcBorders>
              <w:left w:val="nil"/>
              <w:bottom w:val="single" w:color="auto" w:sz="12" w:space="0"/>
              <w:right w:val="nil"/>
            </w:tcBorders>
            <w:tcMar>
              <w:top w:w="15" w:type="dxa"/>
              <w:left w:w="108" w:type="dxa"/>
              <w:bottom w:w="0" w:type="dxa"/>
              <w:right w:w="108" w:type="dxa"/>
            </w:tcMar>
            <w:vAlign w:val="center"/>
          </w:tcPr>
          <w:p w14:paraId="429337B3">
            <w:pPr>
              <w:spacing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t>D18 HS/eC9</w:t>
            </w:r>
          </w:p>
        </w:tc>
        <w:tc>
          <w:tcPr>
            <w:tcW w:w="538" w:type="pct"/>
            <w:tcBorders>
              <w:left w:val="nil"/>
              <w:bottom w:val="single" w:color="auto" w:sz="12" w:space="0"/>
              <w:right w:val="nil"/>
            </w:tcBorders>
            <w:tcMar>
              <w:top w:w="15" w:type="dxa"/>
              <w:left w:w="108" w:type="dxa"/>
              <w:bottom w:w="0" w:type="dxa"/>
              <w:right w:w="108" w:type="dxa"/>
            </w:tcMar>
            <w:vAlign w:val="center"/>
          </w:tcPr>
          <w:p w14:paraId="24CCA818">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0.871</w:t>
            </w:r>
          </w:p>
        </w:tc>
        <w:tc>
          <w:tcPr>
            <w:tcW w:w="498" w:type="pct"/>
            <w:tcBorders>
              <w:left w:val="nil"/>
              <w:bottom w:val="single" w:color="auto" w:sz="12" w:space="0"/>
              <w:right w:val="nil"/>
            </w:tcBorders>
            <w:tcMar>
              <w:top w:w="15" w:type="dxa"/>
              <w:left w:w="108" w:type="dxa"/>
              <w:bottom w:w="0" w:type="dxa"/>
              <w:right w:w="108" w:type="dxa"/>
            </w:tcMar>
            <w:vAlign w:val="center"/>
          </w:tcPr>
          <w:p w14:paraId="5A5960EE">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1.404</w:t>
            </w:r>
          </w:p>
        </w:tc>
        <w:tc>
          <w:tcPr>
            <w:tcW w:w="520" w:type="pct"/>
            <w:tcBorders>
              <w:left w:val="nil"/>
              <w:bottom w:val="single" w:color="auto" w:sz="12" w:space="0"/>
              <w:right w:val="nil"/>
            </w:tcBorders>
            <w:tcMar>
              <w:top w:w="15" w:type="dxa"/>
              <w:left w:w="108" w:type="dxa"/>
              <w:bottom w:w="0" w:type="dxa"/>
              <w:right w:w="108" w:type="dxa"/>
            </w:tcMar>
            <w:vAlign w:val="center"/>
          </w:tcPr>
          <w:p w14:paraId="31E87DDA">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0.533</w:t>
            </w:r>
          </w:p>
        </w:tc>
        <w:tc>
          <w:tcPr>
            <w:tcW w:w="614" w:type="pct"/>
            <w:tcBorders>
              <w:left w:val="nil"/>
              <w:bottom w:val="single" w:color="auto" w:sz="12" w:space="0"/>
              <w:right w:val="nil"/>
            </w:tcBorders>
            <w:tcMar>
              <w:top w:w="15" w:type="dxa"/>
              <w:left w:w="108" w:type="dxa"/>
              <w:bottom w:w="0" w:type="dxa"/>
              <w:right w:w="108" w:type="dxa"/>
            </w:tcMar>
            <w:vAlign w:val="center"/>
          </w:tcPr>
          <w:p w14:paraId="3F30E38B">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1.142</w:t>
            </w:r>
          </w:p>
        </w:tc>
        <w:tc>
          <w:tcPr>
            <w:tcW w:w="617" w:type="pct"/>
            <w:tcBorders>
              <w:left w:val="nil"/>
              <w:bottom w:val="single" w:color="auto" w:sz="12" w:space="0"/>
              <w:right w:val="nil"/>
            </w:tcBorders>
            <w:tcMar>
              <w:top w:w="15" w:type="dxa"/>
              <w:left w:w="108" w:type="dxa"/>
              <w:bottom w:w="0" w:type="dxa"/>
              <w:right w:w="108" w:type="dxa"/>
            </w:tcMar>
            <w:vAlign w:val="center"/>
          </w:tcPr>
          <w:p w14:paraId="5196330C">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1.085</w:t>
            </w:r>
          </w:p>
        </w:tc>
        <w:tc>
          <w:tcPr>
            <w:tcW w:w="458" w:type="pct"/>
            <w:tcBorders>
              <w:left w:val="nil"/>
              <w:bottom w:val="single" w:color="auto" w:sz="12" w:space="0"/>
              <w:right w:val="nil"/>
            </w:tcBorders>
            <w:tcMar>
              <w:top w:w="15" w:type="dxa"/>
              <w:left w:w="108" w:type="dxa"/>
              <w:bottom w:w="0" w:type="dxa"/>
              <w:right w:w="108" w:type="dxa"/>
            </w:tcMar>
            <w:vAlign w:val="center"/>
          </w:tcPr>
          <w:p w14:paraId="0A312E40">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0.262</w:t>
            </w:r>
          </w:p>
        </w:tc>
        <w:tc>
          <w:tcPr>
            <w:tcW w:w="520" w:type="pct"/>
            <w:tcBorders>
              <w:left w:val="nil"/>
              <w:bottom w:val="single" w:color="auto" w:sz="12" w:space="0"/>
              <w:right w:val="nil"/>
            </w:tcBorders>
            <w:tcMar>
              <w:top w:w="15" w:type="dxa"/>
              <w:left w:w="108" w:type="dxa"/>
              <w:bottom w:w="0" w:type="dxa"/>
              <w:right w:w="108" w:type="dxa"/>
            </w:tcMar>
            <w:vAlign w:val="center"/>
          </w:tcPr>
          <w:p w14:paraId="1BC80D64">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0.057</w:t>
            </w:r>
          </w:p>
        </w:tc>
        <w:tc>
          <w:tcPr>
            <w:tcW w:w="519" w:type="pct"/>
            <w:tcBorders>
              <w:left w:val="nil"/>
              <w:bottom w:val="single" w:color="auto" w:sz="12" w:space="0"/>
              <w:right w:val="nil"/>
            </w:tcBorders>
            <w:tcMar>
              <w:top w:w="15" w:type="dxa"/>
              <w:left w:w="108" w:type="dxa"/>
              <w:bottom w:w="0" w:type="dxa"/>
              <w:right w:w="108" w:type="dxa"/>
            </w:tcMar>
            <w:vAlign w:val="center"/>
          </w:tcPr>
          <w:p w14:paraId="64B67B62">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0.214</w:t>
            </w:r>
          </w:p>
        </w:tc>
      </w:tr>
    </w:tbl>
    <w:p w14:paraId="20558181">
      <w:pPr>
        <w:pStyle w:val="7"/>
        <w:snapToGrid w:val="0"/>
        <w:spacing w:before="0" w:beforeAutospacing="0" w:after="0" w:afterAutospacing="0" w:line="360" w:lineRule="auto"/>
        <w:jc w:val="both"/>
        <w:rPr>
          <w:rFonts w:ascii="Times New Roman" w:hAnsi="Times New Roman" w:cs="Times New Roman"/>
          <w:color w:val="auto"/>
          <w:sz w:val="21"/>
          <w:szCs w:val="21"/>
        </w:rPr>
      </w:pPr>
      <w:r>
        <w:rPr>
          <w:rFonts w:ascii="Times New Roman" w:hAnsi="Times New Roman" w:cs="Times New Roman"/>
          <w:color w:val="auto"/>
          <w:kern w:val="2"/>
          <w:sz w:val="21"/>
          <w:szCs w:val="21"/>
        </w:rPr>
        <w:t xml:space="preserve">a) </w:t>
      </w:r>
      <w:r>
        <w:rPr>
          <w:rFonts w:ascii="Times New Roman" w:hAnsi="Times New Roman" w:cs="Times New Roman"/>
          <w:i/>
          <w:iCs/>
          <w:color w:val="auto"/>
          <w:kern w:val="2"/>
          <w:sz w:val="21"/>
          <w:szCs w:val="21"/>
        </w:rPr>
        <w:t>V</w:t>
      </w:r>
      <w:r>
        <w:rPr>
          <w:rFonts w:ascii="Times New Roman" w:hAnsi="Times New Roman" w:cs="Times New Roman"/>
          <w:color w:val="auto"/>
          <w:kern w:val="2"/>
          <w:position w:val="-5"/>
          <w:sz w:val="21"/>
          <w:szCs w:val="21"/>
          <w:vertAlign w:val="subscript"/>
        </w:rPr>
        <w:t>OC</w:t>
      </w:r>
      <w:r>
        <w:rPr>
          <w:rFonts w:ascii="Times New Roman" w:hAnsi="Times New Roman" w:cs="Times New Roman"/>
          <w:color w:val="auto"/>
          <w:kern w:val="2"/>
          <w:sz w:val="21"/>
          <w:szCs w:val="21"/>
        </w:rPr>
        <w:t>: measured in the voltage loss test without an aperture</w:t>
      </w:r>
      <w:r>
        <w:rPr>
          <w:rFonts w:hint="eastAsia" w:ascii="Times New Roman" w:hAnsi="Times New Roman" w:cs="Times New Roman"/>
          <w:color w:val="auto"/>
          <w:kern w:val="2"/>
          <w:sz w:val="21"/>
          <w:szCs w:val="21"/>
        </w:rPr>
        <w:t>.</w:t>
      </w:r>
    </w:p>
    <w:p w14:paraId="0B55E9EA">
      <w:pPr>
        <w:pStyle w:val="7"/>
        <w:snapToGrid w:val="0"/>
        <w:spacing w:before="0" w:beforeAutospacing="0" w:after="0" w:afterAutospacing="0" w:line="360" w:lineRule="auto"/>
        <w:jc w:val="both"/>
        <w:rPr>
          <w:rFonts w:ascii="Times New Roman" w:hAnsi="Times New Roman" w:cs="Times New Roman"/>
          <w:color w:val="auto"/>
          <w:sz w:val="21"/>
          <w:szCs w:val="21"/>
        </w:rPr>
      </w:pPr>
      <w:r>
        <w:rPr>
          <w:rFonts w:ascii="Times New Roman" w:hAnsi="Times New Roman" w:cs="Times New Roman"/>
          <w:color w:val="auto"/>
          <w:kern w:val="2"/>
          <w:sz w:val="21"/>
          <w:szCs w:val="21"/>
        </w:rPr>
        <w:t xml:space="preserve">b) </w:t>
      </w:r>
      <w:r>
        <w:rPr>
          <w:rFonts w:ascii="Times New Roman" w:hAnsi="Times New Roman" w:cs="Times New Roman"/>
          <w:i/>
          <w:iCs/>
          <w:color w:val="auto"/>
          <w:kern w:val="2"/>
          <w:sz w:val="21"/>
          <w:szCs w:val="21"/>
        </w:rPr>
        <w:t>E</w:t>
      </w:r>
      <w:r>
        <w:rPr>
          <w:rFonts w:ascii="Times New Roman" w:hAnsi="Times New Roman" w:cs="Times New Roman"/>
          <w:color w:val="auto"/>
          <w:kern w:val="2"/>
          <w:position w:val="-5"/>
          <w:sz w:val="21"/>
          <w:szCs w:val="21"/>
          <w:vertAlign w:val="subscript"/>
        </w:rPr>
        <w:t>g</w:t>
      </w:r>
      <w:r>
        <w:rPr>
          <w:rFonts w:ascii="Times New Roman" w:hAnsi="Times New Roman" w:cs="Times New Roman"/>
          <w:color w:val="auto"/>
          <w:kern w:val="2"/>
          <w:sz w:val="21"/>
          <w:szCs w:val="21"/>
        </w:rPr>
        <w:t xml:space="preserve">: optical bandgaps, via the </w:t>
      </w:r>
      <w:bookmarkStart w:id="16" w:name="_Hlk163403462"/>
      <w:r>
        <w:rPr>
          <w:rFonts w:ascii="Times New Roman" w:hAnsi="Times New Roman" w:cs="Times New Roman"/>
          <w:color w:val="auto"/>
          <w:kern w:val="2"/>
          <w:sz w:val="21"/>
          <w:szCs w:val="21"/>
        </w:rPr>
        <w:t>derivatives of the EQE spectra</w:t>
      </w:r>
      <w:bookmarkEnd w:id="16"/>
      <w:r>
        <w:rPr>
          <w:rFonts w:ascii="Times New Roman" w:hAnsi="Times New Roman" w:cs="Times New Roman"/>
          <w:color w:val="auto"/>
          <w:kern w:val="2"/>
          <w:sz w:val="21"/>
          <w:szCs w:val="21"/>
        </w:rPr>
        <w:t xml:space="preserve"> (dEQE/dE)</w:t>
      </w:r>
      <w:r>
        <w:rPr>
          <w:rFonts w:hint="eastAsia" w:ascii="Times New Roman" w:hAnsi="Times New Roman" w:cs="Times New Roman"/>
          <w:color w:val="auto"/>
          <w:kern w:val="2"/>
          <w:sz w:val="21"/>
          <w:szCs w:val="21"/>
        </w:rPr>
        <w:t>.</w:t>
      </w:r>
    </w:p>
    <w:p w14:paraId="79FB6463">
      <w:pPr>
        <w:pStyle w:val="7"/>
        <w:snapToGrid w:val="0"/>
        <w:spacing w:before="0" w:beforeAutospacing="0" w:after="0" w:afterAutospacing="0" w:line="360" w:lineRule="auto"/>
        <w:jc w:val="both"/>
        <w:rPr>
          <w:rFonts w:ascii="Times New Roman" w:hAnsi="Times New Roman" w:cs="Times New Roman"/>
          <w:color w:val="auto"/>
          <w:sz w:val="21"/>
          <w:szCs w:val="21"/>
        </w:rPr>
      </w:pPr>
      <w:r>
        <w:rPr>
          <w:rFonts w:ascii="Times New Roman" w:hAnsi="Times New Roman" w:cs="Times New Roman"/>
          <w:color w:val="auto"/>
          <w:kern w:val="2"/>
          <w:sz w:val="21"/>
          <w:szCs w:val="21"/>
        </w:rPr>
        <w:t xml:space="preserve">c) </w:t>
      </w:r>
      <w:r>
        <w:rPr>
          <w:rFonts w:ascii="Times New Roman" w:hAnsi="Times New Roman" w:cs="Times New Roman"/>
          <w:i/>
          <w:iCs/>
          <w:color w:val="auto"/>
          <w:kern w:val="2"/>
          <w:sz w:val="21"/>
          <w:szCs w:val="21"/>
        </w:rPr>
        <w:t>V</w:t>
      </w:r>
      <w:r>
        <w:rPr>
          <w:rFonts w:ascii="Cambria Math" w:hAnsi="Cambria Math" w:cs="Cambria Math"/>
          <w:color w:val="auto"/>
          <w:kern w:val="2"/>
          <w:sz w:val="21"/>
          <w:szCs w:val="21"/>
        </w:rPr>
        <w:t>𝑜𝑐</w:t>
      </w:r>
      <w:r>
        <w:rPr>
          <w:rFonts w:ascii="Cambria Math" w:hAnsi="Cambria Math" w:cs="Cambria Math"/>
          <w:color w:val="auto"/>
          <w:kern w:val="2"/>
          <w:position w:val="6"/>
          <w:sz w:val="21"/>
          <w:szCs w:val="21"/>
          <w:vertAlign w:val="superscript"/>
        </w:rPr>
        <w:t>𝑆𝑄</w:t>
      </w:r>
      <w:r>
        <w:rPr>
          <w:rFonts w:ascii="Times New Roman" w:hAnsi="Times New Roman" w:cs="Times New Roman"/>
          <w:color w:val="auto"/>
          <w:kern w:val="2"/>
          <w:sz w:val="21"/>
          <w:szCs w:val="21"/>
        </w:rPr>
        <w:t xml:space="preserve">: Schokley-Queisser limit to </w:t>
      </w:r>
      <w:r>
        <w:rPr>
          <w:rFonts w:ascii="Times New Roman" w:hAnsi="Times New Roman" w:cs="Times New Roman"/>
          <w:i/>
          <w:iCs/>
          <w:color w:val="auto"/>
          <w:kern w:val="2"/>
          <w:sz w:val="21"/>
          <w:szCs w:val="21"/>
        </w:rPr>
        <w:t>V</w:t>
      </w:r>
      <w:r>
        <w:rPr>
          <w:rFonts w:ascii="Times New Roman" w:hAnsi="Times New Roman" w:cs="Times New Roman"/>
          <w:color w:val="auto"/>
          <w:kern w:val="2"/>
          <w:position w:val="-5"/>
          <w:sz w:val="21"/>
          <w:szCs w:val="21"/>
          <w:vertAlign w:val="subscript"/>
        </w:rPr>
        <w:t>OC</w:t>
      </w:r>
      <w:r>
        <w:rPr>
          <w:rFonts w:ascii="Times New Roman" w:hAnsi="Times New Roman" w:cs="Times New Roman"/>
          <w:color w:val="auto"/>
          <w:kern w:val="2"/>
          <w:sz w:val="21"/>
          <w:szCs w:val="21"/>
        </w:rPr>
        <w:t>.</w:t>
      </w:r>
    </w:p>
    <w:p w14:paraId="3C471483">
      <w:pPr>
        <w:pStyle w:val="7"/>
        <w:snapToGrid w:val="0"/>
        <w:spacing w:before="0" w:beforeAutospacing="0" w:after="0" w:afterAutospacing="0" w:line="360" w:lineRule="auto"/>
        <w:jc w:val="both"/>
        <w:rPr>
          <w:rFonts w:ascii="Times New Roman" w:hAnsi="Times New Roman" w:cs="Times New Roman"/>
          <w:color w:val="auto"/>
          <w:sz w:val="21"/>
          <w:szCs w:val="21"/>
        </w:rPr>
      </w:pPr>
      <w:r>
        <w:rPr>
          <w:rFonts w:ascii="Times New Roman" w:hAnsi="Times New Roman" w:cs="Times New Roman"/>
          <w:color w:val="auto"/>
          <w:kern w:val="2"/>
          <w:sz w:val="21"/>
          <w:szCs w:val="21"/>
        </w:rPr>
        <w:t xml:space="preserve">d) </w:t>
      </w:r>
      <w:r>
        <w:rPr>
          <w:rFonts w:ascii="Times New Roman" w:hAnsi="Times New Roman" w:cs="Times New Roman"/>
          <w:i/>
          <w:iCs/>
          <w:color w:val="auto"/>
          <w:kern w:val="2"/>
          <w:sz w:val="21"/>
          <w:szCs w:val="21"/>
        </w:rPr>
        <w:t>V</w:t>
      </w:r>
      <w:r>
        <w:rPr>
          <w:rFonts w:ascii="Cambria Math" w:hAnsi="Cambria Math" w:cs="Cambria Math"/>
          <w:color w:val="auto"/>
          <w:kern w:val="2"/>
          <w:sz w:val="21"/>
          <w:szCs w:val="21"/>
        </w:rPr>
        <w:t>𝑜𝑐</w:t>
      </w:r>
      <w:r>
        <w:rPr>
          <w:rFonts w:ascii="Cambria Math" w:hAnsi="Cambria Math" w:cs="Cambria Math"/>
          <w:color w:val="auto"/>
          <w:kern w:val="2"/>
          <w:position w:val="6"/>
          <w:sz w:val="21"/>
          <w:szCs w:val="21"/>
          <w:vertAlign w:val="superscript"/>
        </w:rPr>
        <w:t>𝑟𝑎𝑑</w:t>
      </w:r>
      <w:r>
        <w:rPr>
          <w:rFonts w:ascii="Times New Roman" w:hAnsi="Times New Roman" w:cs="Times New Roman"/>
          <w:color w:val="auto"/>
          <w:kern w:val="2"/>
          <w:sz w:val="21"/>
          <w:szCs w:val="21"/>
        </w:rPr>
        <w:t xml:space="preserve">: radiative limit to </w:t>
      </w:r>
      <w:r>
        <w:rPr>
          <w:rFonts w:ascii="Times New Roman" w:hAnsi="Times New Roman" w:cs="Times New Roman"/>
          <w:i/>
          <w:iCs/>
          <w:color w:val="auto"/>
          <w:kern w:val="2"/>
          <w:sz w:val="21"/>
          <w:szCs w:val="21"/>
        </w:rPr>
        <w:t>V</w:t>
      </w:r>
      <w:r>
        <w:rPr>
          <w:rFonts w:ascii="Times New Roman" w:hAnsi="Times New Roman" w:cs="Times New Roman"/>
          <w:color w:val="auto"/>
          <w:kern w:val="2"/>
          <w:sz w:val="21"/>
          <w:szCs w:val="21"/>
        </w:rPr>
        <w:t>oc, measured using EQE</w:t>
      </w:r>
      <w:r>
        <w:rPr>
          <w:rFonts w:ascii="Times New Roman" w:hAnsi="Times New Roman" w:cs="Times New Roman"/>
          <w:color w:val="auto"/>
          <w:kern w:val="2"/>
          <w:position w:val="-5"/>
          <w:sz w:val="21"/>
          <w:szCs w:val="21"/>
          <w:vertAlign w:val="subscript"/>
        </w:rPr>
        <w:t>EL</w:t>
      </w:r>
    </w:p>
    <w:p w14:paraId="0DEACAD2">
      <w:pPr>
        <w:pStyle w:val="7"/>
        <w:snapToGrid w:val="0"/>
        <w:spacing w:before="0" w:beforeAutospacing="0" w:after="0" w:afterAutospacing="0" w:line="360" w:lineRule="auto"/>
        <w:jc w:val="both"/>
        <w:rPr>
          <w:rFonts w:ascii="Times New Roman" w:hAnsi="Times New Roman" w:cs="Times New Roman"/>
          <w:color w:val="auto"/>
          <w:sz w:val="21"/>
          <w:szCs w:val="21"/>
        </w:rPr>
      </w:pPr>
      <w:r>
        <w:rPr>
          <w:rFonts w:ascii="Times New Roman" w:hAnsi="Times New Roman" w:cs="Times New Roman"/>
          <w:color w:val="auto"/>
          <w:kern w:val="2"/>
          <w:sz w:val="21"/>
          <w:szCs w:val="21"/>
        </w:rPr>
        <w:t>e) ∆</w:t>
      </w:r>
      <w:r>
        <w:rPr>
          <w:rFonts w:ascii="Times New Roman" w:hAnsi="Times New Roman" w:cs="Times New Roman"/>
          <w:i/>
          <w:iCs/>
          <w:color w:val="auto"/>
          <w:kern w:val="2"/>
          <w:sz w:val="21"/>
          <w:szCs w:val="21"/>
        </w:rPr>
        <w:t>E</w:t>
      </w:r>
      <w:r>
        <w:rPr>
          <w:rFonts w:ascii="Times New Roman" w:hAnsi="Times New Roman" w:cs="Times New Roman"/>
          <w:color w:val="auto"/>
          <w:kern w:val="2"/>
          <w:position w:val="-5"/>
          <w:sz w:val="21"/>
          <w:szCs w:val="21"/>
          <w:vertAlign w:val="subscript"/>
        </w:rPr>
        <w:t>2</w:t>
      </w:r>
      <w:r>
        <w:rPr>
          <w:rFonts w:ascii="Times New Roman" w:hAnsi="Times New Roman" w:cs="Times New Roman"/>
          <w:color w:val="auto"/>
          <w:kern w:val="2"/>
          <w:sz w:val="21"/>
          <w:szCs w:val="21"/>
        </w:rPr>
        <w:t xml:space="preserve"> ((</w:t>
      </w:r>
      <w:r>
        <w:rPr>
          <w:rFonts w:ascii="Times New Roman" w:hAnsi="Times New Roman" w:cs="Times New Roman"/>
          <w:i/>
          <w:iCs/>
          <w:color w:val="auto"/>
          <w:kern w:val="2"/>
          <w:sz w:val="21"/>
          <w:szCs w:val="21"/>
        </w:rPr>
        <w:t>V</w:t>
      </w:r>
      <w:r>
        <w:rPr>
          <w:rFonts w:ascii="Times New Roman" w:hAnsi="Times New Roman" w:cs="Times New Roman"/>
          <w:color w:val="auto"/>
          <w:kern w:val="2"/>
          <w:sz w:val="21"/>
          <w:szCs w:val="21"/>
        </w:rPr>
        <w:t>oc</w:t>
      </w:r>
      <w:r>
        <w:rPr>
          <w:rFonts w:ascii="Times New Roman" w:hAnsi="Times New Roman" w:cs="Times New Roman"/>
          <w:color w:val="auto"/>
          <w:kern w:val="2"/>
          <w:position w:val="6"/>
          <w:sz w:val="21"/>
          <w:szCs w:val="21"/>
          <w:vertAlign w:val="superscript"/>
        </w:rPr>
        <w:t>SQ</w:t>
      </w:r>
      <w:r>
        <w:rPr>
          <w:rFonts w:ascii="Times New Roman" w:hAnsi="Times New Roman" w:cs="Times New Roman"/>
          <w:color w:val="auto"/>
          <w:kern w:val="2"/>
          <w:sz w:val="21"/>
          <w:szCs w:val="21"/>
        </w:rPr>
        <w:t>-</w:t>
      </w:r>
      <w:r>
        <w:rPr>
          <w:rFonts w:ascii="Times New Roman" w:hAnsi="Times New Roman" w:cs="Times New Roman"/>
          <w:i/>
          <w:iCs/>
          <w:color w:val="auto"/>
          <w:kern w:val="2"/>
          <w:sz w:val="21"/>
          <w:szCs w:val="21"/>
        </w:rPr>
        <w:t>V</w:t>
      </w:r>
      <w:r>
        <w:rPr>
          <w:rFonts w:ascii="Times New Roman" w:hAnsi="Times New Roman" w:cs="Times New Roman"/>
          <w:color w:val="auto"/>
          <w:kern w:val="2"/>
          <w:sz w:val="21"/>
          <w:szCs w:val="21"/>
        </w:rPr>
        <w:t>oc</w:t>
      </w:r>
      <w:r>
        <w:rPr>
          <w:rFonts w:ascii="Times New Roman" w:hAnsi="Times New Roman" w:cs="Times New Roman"/>
          <w:color w:val="auto"/>
          <w:kern w:val="2"/>
          <w:position w:val="6"/>
          <w:sz w:val="21"/>
          <w:szCs w:val="21"/>
          <w:vertAlign w:val="superscript"/>
        </w:rPr>
        <w:t>rad</w:t>
      </w:r>
      <w:r>
        <w:rPr>
          <w:rFonts w:ascii="Times New Roman" w:hAnsi="Times New Roman" w:cs="Times New Roman"/>
          <w:color w:val="auto"/>
          <w:kern w:val="2"/>
          <w:sz w:val="21"/>
          <w:szCs w:val="21"/>
        </w:rPr>
        <w:t>): voltage losses due to non-ideal absorption (it was calculated from EL and FTPS measurements).</w:t>
      </w:r>
    </w:p>
    <w:p w14:paraId="03739CFB">
      <w:pPr>
        <w:pStyle w:val="7"/>
        <w:snapToGrid w:val="0"/>
        <w:spacing w:before="0" w:beforeAutospacing="0" w:after="0" w:afterAutospacing="0" w:line="360" w:lineRule="auto"/>
        <w:jc w:val="both"/>
        <w:rPr>
          <w:rFonts w:ascii="Times New Roman" w:hAnsi="Times New Roman" w:cs="Times New Roman"/>
          <w:color w:val="auto"/>
          <w:sz w:val="21"/>
          <w:szCs w:val="21"/>
        </w:rPr>
      </w:pPr>
      <w:r>
        <w:rPr>
          <w:rFonts w:ascii="Times New Roman" w:hAnsi="Times New Roman" w:cs="Times New Roman"/>
          <w:color w:val="auto"/>
          <w:kern w:val="2"/>
          <w:sz w:val="21"/>
          <w:szCs w:val="21"/>
        </w:rPr>
        <w:t>f) ∆</w:t>
      </w:r>
      <w:r>
        <w:rPr>
          <w:rFonts w:ascii="Times New Roman" w:hAnsi="Times New Roman" w:cs="Times New Roman"/>
          <w:i/>
          <w:iCs/>
          <w:color w:val="auto"/>
          <w:kern w:val="2"/>
          <w:sz w:val="21"/>
          <w:szCs w:val="21"/>
        </w:rPr>
        <w:t>E</w:t>
      </w:r>
      <w:r>
        <w:rPr>
          <w:rFonts w:ascii="Times New Roman" w:hAnsi="Times New Roman" w:cs="Times New Roman"/>
          <w:color w:val="auto"/>
          <w:kern w:val="2"/>
          <w:position w:val="-5"/>
          <w:sz w:val="21"/>
          <w:szCs w:val="21"/>
          <w:vertAlign w:val="subscript"/>
        </w:rPr>
        <w:t>3</w:t>
      </w:r>
      <w:r>
        <w:rPr>
          <w:rFonts w:ascii="Times New Roman" w:hAnsi="Times New Roman" w:cs="Times New Roman"/>
          <w:color w:val="auto"/>
          <w:kern w:val="2"/>
          <w:sz w:val="21"/>
          <w:szCs w:val="21"/>
        </w:rPr>
        <w:t xml:space="preserve"> (∆</w:t>
      </w:r>
      <w:r>
        <w:rPr>
          <w:rFonts w:ascii="Cambria Math" w:hAnsi="Cambria Math" w:cs="Cambria Math"/>
          <w:color w:val="auto"/>
          <w:kern w:val="2"/>
          <w:sz w:val="21"/>
          <w:szCs w:val="21"/>
        </w:rPr>
        <w:t>𝑉𝑜𝑐</w:t>
      </w:r>
      <w:r>
        <w:rPr>
          <w:rFonts w:ascii="Times New Roman" w:hAnsi="Times New Roman" w:cs="Times New Roman"/>
          <w:color w:val="auto"/>
          <w:kern w:val="2"/>
          <w:sz w:val="21"/>
          <w:szCs w:val="21"/>
        </w:rPr>
        <w:t xml:space="preserve"> </w:t>
      </w:r>
      <w:r>
        <w:rPr>
          <w:rFonts w:ascii="Cambria Math" w:hAnsi="Cambria Math" w:cs="Cambria Math"/>
          <w:color w:val="auto"/>
          <w:kern w:val="2"/>
          <w:position w:val="6"/>
          <w:sz w:val="21"/>
          <w:szCs w:val="21"/>
          <w:vertAlign w:val="superscript"/>
        </w:rPr>
        <w:t>𝑛𝑜𝑛</w:t>
      </w:r>
      <w:r>
        <w:rPr>
          <w:rFonts w:ascii="Times New Roman" w:hAnsi="Times New Roman" w:cs="Times New Roman"/>
          <w:color w:val="auto"/>
          <w:kern w:val="2"/>
          <w:position w:val="6"/>
          <w:sz w:val="21"/>
          <w:szCs w:val="21"/>
          <w:vertAlign w:val="superscript"/>
        </w:rPr>
        <w:t>−</w:t>
      </w:r>
      <w:r>
        <w:rPr>
          <w:rFonts w:ascii="Cambria Math" w:hAnsi="Cambria Math" w:cs="Cambria Math"/>
          <w:color w:val="auto"/>
          <w:kern w:val="2"/>
          <w:position w:val="6"/>
          <w:sz w:val="21"/>
          <w:szCs w:val="21"/>
          <w:vertAlign w:val="superscript"/>
        </w:rPr>
        <w:t>𝑟𝑎𝑑</w:t>
      </w:r>
      <w:r>
        <w:rPr>
          <w:rFonts w:ascii="Times New Roman" w:hAnsi="Times New Roman" w:cs="Times New Roman"/>
          <w:color w:val="auto"/>
          <w:kern w:val="2"/>
          <w:sz w:val="21"/>
          <w:szCs w:val="21"/>
        </w:rPr>
        <w:t>): voltage losses due to non-radiative recombination only.</w:t>
      </w:r>
    </w:p>
    <w:p w14:paraId="0559EFA0">
      <w:pPr>
        <w:widowControl/>
        <w:spacing w:line="360" w:lineRule="auto"/>
        <w:rPr>
          <w:rFonts w:ascii="Times New Roman" w:hAnsi="Times New Roman" w:cs="Times New Roman"/>
          <w:color w:val="auto"/>
          <w:kern w:val="0"/>
          <w:sz w:val="24"/>
          <w:szCs w:val="24"/>
        </w:rPr>
      </w:pPr>
    </w:p>
    <w:p w14:paraId="664A8791">
      <w:pPr>
        <w:spacing w:line="360" w:lineRule="auto"/>
        <w:jc w:val="center"/>
        <w:rPr>
          <w:rFonts w:ascii="Times New Roman" w:hAnsi="Times New Roman" w:cs="Times New Roman"/>
          <w:color w:val="auto"/>
        </w:rPr>
      </w:pPr>
      <w:r>
        <w:rPr>
          <w:color w:val="auto"/>
        </w:rPr>
        <w:drawing>
          <wp:inline distT="0" distB="0" distL="0" distR="0">
            <wp:extent cx="3959860" cy="1302385"/>
            <wp:effectExtent l="0" t="0" r="2540" b="5715"/>
            <wp:docPr id="1087574304"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574304" name="图片 1" descr="图示&#10;&#10;AI 生成的内容可能不正确。"/>
                    <pic:cNvPicPr>
                      <a:picLocks noChangeAspect="1" noChangeArrowheads="1"/>
                    </pic:cNvPicPr>
                  </pic:nvPicPr>
                  <pic:blipFill>
                    <a:blip r:embed="rId32">
                      <a:extLst>
                        <a:ext uri="{28A0092B-C50C-407E-A947-70E740481C1C}">
                          <a14:useLocalDpi xmlns:a14="http://schemas.microsoft.com/office/drawing/2010/main" val="0"/>
                        </a:ext>
                      </a:extLst>
                    </a:blip>
                    <a:srcRect r="37636"/>
                    <a:stretch>
                      <a:fillRect/>
                    </a:stretch>
                  </pic:blipFill>
                  <pic:spPr>
                    <a:xfrm>
                      <a:off x="0" y="0"/>
                      <a:ext cx="3959860" cy="1302385"/>
                    </a:xfrm>
                    <a:prstGeom prst="rect">
                      <a:avLst/>
                    </a:prstGeom>
                    <a:noFill/>
                    <a:ln>
                      <a:noFill/>
                    </a:ln>
                  </pic:spPr>
                </pic:pic>
              </a:graphicData>
            </a:graphic>
          </wp:inline>
        </w:drawing>
      </w:r>
    </w:p>
    <w:p w14:paraId="543FB997">
      <w:pPr>
        <w:spacing w:line="360" w:lineRule="auto"/>
        <w:rPr>
          <w:rFonts w:ascii="Times New Roman" w:hAnsi="Times New Roman" w:cs="Times New Roman"/>
          <w:color w:val="auto"/>
          <w:sz w:val="24"/>
          <w:szCs w:val="28"/>
        </w:rPr>
      </w:pPr>
      <w:r>
        <w:rPr>
          <w:rFonts w:hint="eastAsia" w:ascii="Times New Roman" w:hAnsi="Times New Roman" w:cs="Times New Roman"/>
          <w:b/>
          <w:bCs/>
          <w:color w:val="auto"/>
          <w:sz w:val="24"/>
          <w:szCs w:val="28"/>
        </w:rPr>
        <w:t>Figure S2</w:t>
      </w:r>
      <w:r>
        <w:rPr>
          <w:rFonts w:hint="eastAsia" w:ascii="Times New Roman" w:hAnsi="Times New Roman" w:cs="Times New Roman"/>
          <w:b/>
          <w:bCs/>
          <w:color w:val="auto"/>
          <w:sz w:val="24"/>
          <w:szCs w:val="28"/>
          <w:lang w:val="en-US" w:eastAsia="zh-CN"/>
        </w:rPr>
        <w:t>9</w:t>
      </w:r>
      <w:r>
        <w:rPr>
          <w:rFonts w:hint="eastAsia" w:ascii="Times New Roman" w:hAnsi="Times New Roman" w:cs="Times New Roman"/>
          <w:color w:val="auto"/>
          <w:sz w:val="24"/>
          <w:szCs w:val="28"/>
        </w:rPr>
        <w:t>.</w:t>
      </w:r>
      <w:r>
        <w:rPr>
          <w:color w:val="auto"/>
          <w:sz w:val="24"/>
          <w:szCs w:val="28"/>
        </w:rPr>
        <w:t xml:space="preserve"> </w:t>
      </w:r>
      <w:r>
        <w:rPr>
          <w:rFonts w:hint="eastAsia" w:ascii="Times New Roman" w:hAnsi="Times New Roman" w:cs="Times New Roman"/>
          <w:color w:val="auto"/>
          <w:sz w:val="24"/>
          <w:szCs w:val="28"/>
        </w:rPr>
        <w:t>T</w:t>
      </w:r>
      <w:r>
        <w:rPr>
          <w:rFonts w:ascii="Times New Roman" w:hAnsi="Times New Roman" w:cs="Times New Roman"/>
          <w:color w:val="auto"/>
          <w:sz w:val="24"/>
          <w:szCs w:val="28"/>
        </w:rPr>
        <w:t>he chemical structures of L8-BO</w:t>
      </w:r>
      <w:r>
        <w:rPr>
          <w:rFonts w:hint="eastAsia" w:ascii="Times New Roman" w:hAnsi="Times New Roman" w:cs="Times New Roman"/>
          <w:color w:val="auto"/>
          <w:sz w:val="24"/>
          <w:szCs w:val="28"/>
        </w:rPr>
        <w:t xml:space="preserve"> and</w:t>
      </w:r>
      <w:r>
        <w:rPr>
          <w:rFonts w:ascii="Times New Roman" w:hAnsi="Times New Roman" w:cs="Times New Roman"/>
          <w:color w:val="auto"/>
          <w:sz w:val="24"/>
          <w:szCs w:val="28"/>
        </w:rPr>
        <w:t xml:space="preserve"> BTP-eC9-4F </w:t>
      </w:r>
      <w:r>
        <w:rPr>
          <w:rFonts w:hint="eastAsia" w:ascii="Times New Roman" w:hAnsi="Times New Roman" w:cs="Times New Roman"/>
          <w:color w:val="auto"/>
          <w:sz w:val="24"/>
          <w:szCs w:val="28"/>
        </w:rPr>
        <w:t>acceptors.</w:t>
      </w:r>
    </w:p>
    <w:p w14:paraId="2BBFAF9F">
      <w:pPr>
        <w:spacing w:line="360" w:lineRule="auto"/>
        <w:rPr>
          <w:rFonts w:ascii="Times New Roman" w:hAnsi="Times New Roman" w:cs="Times New Roman"/>
          <w:color w:val="auto"/>
          <w:sz w:val="24"/>
          <w:szCs w:val="28"/>
        </w:rPr>
      </w:pPr>
    </w:p>
    <w:p w14:paraId="73C13176">
      <w:pPr>
        <w:spacing w:line="360" w:lineRule="auto"/>
        <w:jc w:val="center"/>
        <w:rPr>
          <w:rFonts w:ascii="Times New Roman" w:hAnsi="Times New Roman" w:cs="Times New Roman"/>
          <w:color w:val="auto"/>
          <w:sz w:val="24"/>
          <w:szCs w:val="28"/>
        </w:rPr>
      </w:pPr>
      <w:r>
        <w:rPr>
          <w:rFonts w:hint="eastAsia" w:ascii="Times New Roman" w:hAnsi="Times New Roman" w:cs="Times New Roman"/>
          <w:color w:val="auto"/>
          <w:sz w:val="24"/>
          <w:szCs w:val="28"/>
        </w:rPr>
        <w:drawing>
          <wp:inline distT="0" distB="0" distL="114300" distR="114300">
            <wp:extent cx="2879725" cy="2106930"/>
            <wp:effectExtent l="0" t="0" r="3175" b="1270"/>
            <wp:docPr id="14" name="图片 14" descr="1753176946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753176946800"/>
                    <pic:cNvPicPr>
                      <a:picLocks noChangeAspect="1"/>
                    </pic:cNvPicPr>
                  </pic:nvPicPr>
                  <pic:blipFill>
                    <a:blip r:embed="rId33"/>
                    <a:stretch>
                      <a:fillRect/>
                    </a:stretch>
                  </pic:blipFill>
                  <pic:spPr>
                    <a:xfrm>
                      <a:off x="0" y="0"/>
                      <a:ext cx="2879725" cy="2106930"/>
                    </a:xfrm>
                    <a:prstGeom prst="rect">
                      <a:avLst/>
                    </a:prstGeom>
                  </pic:spPr>
                </pic:pic>
              </a:graphicData>
            </a:graphic>
          </wp:inline>
        </w:drawing>
      </w:r>
    </w:p>
    <w:p w14:paraId="55937FBD">
      <w:pPr>
        <w:spacing w:line="360" w:lineRule="auto"/>
        <w:rPr>
          <w:rFonts w:ascii="Times New Roman" w:hAnsi="Times New Roman" w:cs="Times New Roman"/>
          <w:color w:val="auto"/>
          <w:sz w:val="24"/>
          <w:szCs w:val="28"/>
        </w:rPr>
      </w:pPr>
      <w:r>
        <w:rPr>
          <w:rFonts w:hint="eastAsia" w:ascii="Times New Roman" w:hAnsi="Times New Roman" w:cs="Times New Roman"/>
          <w:b/>
          <w:bCs/>
          <w:color w:val="auto"/>
          <w:sz w:val="24"/>
          <w:szCs w:val="28"/>
        </w:rPr>
        <w:t>Figure S</w:t>
      </w:r>
      <w:r>
        <w:rPr>
          <w:rFonts w:hint="eastAsia" w:ascii="Times New Roman" w:hAnsi="Times New Roman" w:cs="Times New Roman"/>
          <w:b/>
          <w:bCs/>
          <w:color w:val="auto"/>
          <w:sz w:val="24"/>
          <w:szCs w:val="28"/>
          <w:lang w:val="en-US" w:eastAsia="zh-CN"/>
        </w:rPr>
        <w:t>30</w:t>
      </w:r>
      <w:r>
        <w:rPr>
          <w:rFonts w:hint="eastAsia" w:ascii="Times New Roman" w:hAnsi="Times New Roman" w:cs="Times New Roman"/>
          <w:color w:val="auto"/>
          <w:sz w:val="24"/>
          <w:szCs w:val="28"/>
        </w:rPr>
        <w:t>.</w:t>
      </w:r>
      <w:r>
        <w:rPr>
          <w:color w:val="auto"/>
          <w:sz w:val="24"/>
          <w:szCs w:val="28"/>
        </w:rPr>
        <w:t xml:space="preserve"> </w:t>
      </w:r>
      <w:r>
        <w:rPr>
          <w:rFonts w:hint="eastAsia" w:ascii="Times New Roman" w:hAnsi="Times New Roman" w:cs="Times New Roman"/>
          <w:color w:val="auto"/>
          <w:sz w:val="24"/>
          <w:szCs w:val="28"/>
        </w:rPr>
        <w:t>T</w:t>
      </w:r>
      <w:r>
        <w:rPr>
          <w:rFonts w:ascii="Times New Roman" w:hAnsi="Times New Roman" w:cs="Times New Roman"/>
          <w:color w:val="auto"/>
          <w:sz w:val="24"/>
          <w:szCs w:val="28"/>
        </w:rPr>
        <w:t xml:space="preserve">he </w:t>
      </w:r>
      <w:r>
        <w:rPr>
          <w:rFonts w:hint="eastAsia" w:ascii="Times New Roman" w:hAnsi="Times New Roman" w:cs="Times New Roman"/>
          <w:color w:val="auto"/>
          <w:sz w:val="24"/>
          <w:szCs w:val="28"/>
        </w:rPr>
        <w:t>EQE spectra of D18/eC9 casted by different method on 2PACZ hole transport layer.</w:t>
      </w:r>
    </w:p>
    <w:p w14:paraId="169869E0">
      <w:pPr>
        <w:spacing w:line="360" w:lineRule="auto"/>
        <w:jc w:val="center"/>
        <w:rPr>
          <w:rFonts w:ascii="Times New Roman" w:hAnsi="Times New Roman" w:cs="Times New Roman"/>
          <w:color w:val="auto"/>
          <w:sz w:val="24"/>
          <w:szCs w:val="28"/>
        </w:rPr>
      </w:pPr>
      <w:r>
        <w:rPr>
          <w:rFonts w:hint="eastAsia" w:ascii="Times New Roman" w:hAnsi="Times New Roman" w:cs="Times New Roman"/>
          <w:color w:val="auto"/>
          <w:sz w:val="24"/>
          <w:szCs w:val="28"/>
        </w:rPr>
        <w:drawing>
          <wp:inline distT="0" distB="0" distL="114300" distR="114300">
            <wp:extent cx="2879725" cy="2112645"/>
            <wp:effectExtent l="0" t="0" r="3175" b="8255"/>
            <wp:docPr id="15" name="图片 15" descr="1753177129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53177129997"/>
                    <pic:cNvPicPr>
                      <a:picLocks noChangeAspect="1"/>
                    </pic:cNvPicPr>
                  </pic:nvPicPr>
                  <pic:blipFill>
                    <a:blip r:embed="rId34"/>
                    <a:stretch>
                      <a:fillRect/>
                    </a:stretch>
                  </pic:blipFill>
                  <pic:spPr>
                    <a:xfrm>
                      <a:off x="0" y="0"/>
                      <a:ext cx="2879725" cy="2112645"/>
                    </a:xfrm>
                    <a:prstGeom prst="rect">
                      <a:avLst/>
                    </a:prstGeom>
                  </pic:spPr>
                </pic:pic>
              </a:graphicData>
            </a:graphic>
          </wp:inline>
        </w:drawing>
      </w:r>
    </w:p>
    <w:p w14:paraId="702285A6">
      <w:pPr>
        <w:spacing w:line="360" w:lineRule="auto"/>
        <w:rPr>
          <w:rFonts w:ascii="Times New Roman" w:hAnsi="Times New Roman" w:cs="Times New Roman"/>
          <w:color w:val="auto"/>
          <w:sz w:val="24"/>
          <w:szCs w:val="28"/>
        </w:rPr>
      </w:pPr>
      <w:r>
        <w:rPr>
          <w:rFonts w:hint="eastAsia" w:ascii="Times New Roman" w:hAnsi="Times New Roman" w:cs="Times New Roman"/>
          <w:b/>
          <w:bCs/>
          <w:color w:val="auto"/>
          <w:sz w:val="24"/>
          <w:szCs w:val="28"/>
        </w:rPr>
        <w:t>Figure S3</w:t>
      </w:r>
      <w:r>
        <w:rPr>
          <w:rFonts w:hint="eastAsia" w:ascii="Times New Roman" w:hAnsi="Times New Roman" w:cs="Times New Roman"/>
          <w:b/>
          <w:bCs/>
          <w:color w:val="auto"/>
          <w:sz w:val="24"/>
          <w:szCs w:val="28"/>
          <w:lang w:val="en-US" w:eastAsia="zh-CN"/>
        </w:rPr>
        <w:t>1</w:t>
      </w:r>
      <w:r>
        <w:rPr>
          <w:rFonts w:hint="eastAsia" w:ascii="Times New Roman" w:hAnsi="Times New Roman" w:cs="Times New Roman"/>
          <w:color w:val="auto"/>
          <w:sz w:val="24"/>
          <w:szCs w:val="28"/>
        </w:rPr>
        <w:t>.</w:t>
      </w:r>
      <w:r>
        <w:rPr>
          <w:color w:val="auto"/>
          <w:sz w:val="24"/>
          <w:szCs w:val="28"/>
        </w:rPr>
        <w:t xml:space="preserve"> </w:t>
      </w:r>
      <w:r>
        <w:rPr>
          <w:rFonts w:hint="eastAsia" w:ascii="Times New Roman" w:hAnsi="Times New Roman" w:cs="Times New Roman"/>
          <w:color w:val="auto"/>
          <w:sz w:val="24"/>
          <w:szCs w:val="28"/>
        </w:rPr>
        <w:t>T</w:t>
      </w:r>
      <w:r>
        <w:rPr>
          <w:rFonts w:ascii="Times New Roman" w:hAnsi="Times New Roman" w:cs="Times New Roman"/>
          <w:color w:val="auto"/>
          <w:sz w:val="24"/>
          <w:szCs w:val="28"/>
        </w:rPr>
        <w:t xml:space="preserve">he </w:t>
      </w:r>
      <w:r>
        <w:rPr>
          <w:rFonts w:hint="eastAsia" w:ascii="Times New Roman" w:hAnsi="Times New Roman" w:cs="Times New Roman"/>
          <w:color w:val="auto"/>
          <w:sz w:val="24"/>
          <w:szCs w:val="28"/>
        </w:rPr>
        <w:t>EQE spectra of D18/eC9-4F and D18 HS/eC9-4F devices using 2PACZ hole transport layer, the active layer thickness is 100nm.</w:t>
      </w:r>
    </w:p>
    <w:p w14:paraId="776E11E2">
      <w:pPr>
        <w:spacing w:line="360" w:lineRule="auto"/>
        <w:rPr>
          <w:rFonts w:ascii="Times New Roman" w:hAnsi="Times New Roman" w:cs="Times New Roman"/>
          <w:color w:val="auto"/>
          <w:sz w:val="24"/>
          <w:szCs w:val="28"/>
        </w:rPr>
      </w:pPr>
    </w:p>
    <w:p w14:paraId="54B1108C">
      <w:pPr>
        <w:spacing w:line="360" w:lineRule="auto"/>
        <w:jc w:val="center"/>
        <w:rPr>
          <w:rFonts w:ascii="Times New Roman" w:hAnsi="Times New Roman" w:cs="Times New Roman"/>
          <w:color w:val="auto"/>
          <w:sz w:val="24"/>
          <w:szCs w:val="28"/>
        </w:rPr>
      </w:pPr>
      <w:r>
        <w:rPr>
          <w:rFonts w:hint="eastAsia" w:ascii="Times New Roman" w:hAnsi="Times New Roman" w:cs="Times New Roman"/>
          <w:color w:val="auto"/>
          <w:sz w:val="24"/>
          <w:szCs w:val="28"/>
        </w:rPr>
        <w:drawing>
          <wp:inline distT="0" distB="0" distL="114300" distR="114300">
            <wp:extent cx="2879725" cy="2110105"/>
            <wp:effectExtent l="0" t="0" r="3175" b="10795"/>
            <wp:docPr id="16" name="图片 16" descr="1753177305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753177305801"/>
                    <pic:cNvPicPr>
                      <a:picLocks noChangeAspect="1"/>
                    </pic:cNvPicPr>
                  </pic:nvPicPr>
                  <pic:blipFill>
                    <a:blip r:embed="rId35"/>
                    <a:stretch>
                      <a:fillRect/>
                    </a:stretch>
                  </pic:blipFill>
                  <pic:spPr>
                    <a:xfrm>
                      <a:off x="0" y="0"/>
                      <a:ext cx="2879725" cy="2110105"/>
                    </a:xfrm>
                    <a:prstGeom prst="rect">
                      <a:avLst/>
                    </a:prstGeom>
                  </pic:spPr>
                </pic:pic>
              </a:graphicData>
            </a:graphic>
          </wp:inline>
        </w:drawing>
      </w:r>
    </w:p>
    <w:p w14:paraId="27D4B808">
      <w:pPr>
        <w:spacing w:line="360" w:lineRule="auto"/>
        <w:rPr>
          <w:rFonts w:ascii="Times New Roman" w:hAnsi="Times New Roman" w:cs="Times New Roman"/>
          <w:color w:val="auto"/>
          <w:sz w:val="24"/>
          <w:szCs w:val="28"/>
        </w:rPr>
      </w:pPr>
      <w:r>
        <w:rPr>
          <w:rFonts w:hint="eastAsia" w:ascii="Times New Roman" w:hAnsi="Times New Roman" w:cs="Times New Roman"/>
          <w:b/>
          <w:bCs/>
          <w:color w:val="auto"/>
          <w:sz w:val="24"/>
          <w:szCs w:val="28"/>
        </w:rPr>
        <w:t>Figure S3</w:t>
      </w:r>
      <w:r>
        <w:rPr>
          <w:rFonts w:hint="eastAsia" w:ascii="Times New Roman" w:hAnsi="Times New Roman" w:cs="Times New Roman"/>
          <w:b/>
          <w:bCs/>
          <w:color w:val="auto"/>
          <w:sz w:val="24"/>
          <w:szCs w:val="28"/>
          <w:lang w:val="en-US" w:eastAsia="zh-CN"/>
        </w:rPr>
        <w:t>2</w:t>
      </w:r>
      <w:r>
        <w:rPr>
          <w:rFonts w:hint="eastAsia" w:ascii="Times New Roman" w:hAnsi="Times New Roman" w:cs="Times New Roman"/>
          <w:color w:val="auto"/>
          <w:sz w:val="24"/>
          <w:szCs w:val="28"/>
        </w:rPr>
        <w:t>.</w:t>
      </w:r>
      <w:r>
        <w:rPr>
          <w:color w:val="auto"/>
          <w:sz w:val="24"/>
          <w:szCs w:val="28"/>
        </w:rPr>
        <w:t xml:space="preserve"> </w:t>
      </w:r>
      <w:r>
        <w:rPr>
          <w:rFonts w:hint="eastAsia" w:ascii="Times New Roman" w:hAnsi="Times New Roman" w:cs="Times New Roman"/>
          <w:color w:val="auto"/>
          <w:sz w:val="24"/>
          <w:szCs w:val="28"/>
        </w:rPr>
        <w:t>T</w:t>
      </w:r>
      <w:r>
        <w:rPr>
          <w:rFonts w:ascii="Times New Roman" w:hAnsi="Times New Roman" w:cs="Times New Roman"/>
          <w:color w:val="auto"/>
          <w:sz w:val="24"/>
          <w:szCs w:val="28"/>
        </w:rPr>
        <w:t xml:space="preserve">he </w:t>
      </w:r>
      <w:r>
        <w:rPr>
          <w:rFonts w:hint="eastAsia" w:ascii="Times New Roman" w:hAnsi="Times New Roman" w:cs="Times New Roman"/>
          <w:color w:val="auto"/>
          <w:sz w:val="24"/>
          <w:szCs w:val="28"/>
        </w:rPr>
        <w:t>EQE spectra of 2PACZ-casted OSCs based on D18/L8-BO system.</w:t>
      </w:r>
    </w:p>
    <w:p w14:paraId="26A4D756">
      <w:pPr>
        <w:spacing w:line="360" w:lineRule="auto"/>
        <w:rPr>
          <w:rFonts w:ascii="Times New Roman" w:hAnsi="Times New Roman" w:cs="Times New Roman"/>
          <w:color w:val="auto"/>
          <w:sz w:val="24"/>
          <w:szCs w:val="28"/>
        </w:rPr>
      </w:pPr>
    </w:p>
    <w:p w14:paraId="1CE5BC36">
      <w:pPr>
        <w:spacing w:line="360" w:lineRule="auto"/>
        <w:jc w:val="center"/>
        <w:rPr>
          <w:rFonts w:ascii="Times New Roman" w:hAnsi="Times New Roman" w:cs="Times New Roman"/>
          <w:color w:val="auto"/>
          <w:sz w:val="24"/>
          <w:szCs w:val="28"/>
        </w:rPr>
      </w:pPr>
      <w:r>
        <w:rPr>
          <w:rFonts w:hint="eastAsia" w:ascii="Times New Roman" w:hAnsi="Times New Roman" w:cs="Times New Roman"/>
          <w:color w:val="auto"/>
          <w:sz w:val="24"/>
          <w:szCs w:val="28"/>
        </w:rPr>
        <w:drawing>
          <wp:inline distT="0" distB="0" distL="114300" distR="114300">
            <wp:extent cx="2879725" cy="2136140"/>
            <wp:effectExtent l="0" t="0" r="3175" b="10160"/>
            <wp:docPr id="17" name="图片 17" descr="175317741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53177414726"/>
                    <pic:cNvPicPr>
                      <a:picLocks noChangeAspect="1"/>
                    </pic:cNvPicPr>
                  </pic:nvPicPr>
                  <pic:blipFill>
                    <a:blip r:embed="rId36"/>
                    <a:stretch>
                      <a:fillRect/>
                    </a:stretch>
                  </pic:blipFill>
                  <pic:spPr>
                    <a:xfrm>
                      <a:off x="0" y="0"/>
                      <a:ext cx="2879725" cy="2136140"/>
                    </a:xfrm>
                    <a:prstGeom prst="rect">
                      <a:avLst/>
                    </a:prstGeom>
                  </pic:spPr>
                </pic:pic>
              </a:graphicData>
            </a:graphic>
          </wp:inline>
        </w:drawing>
      </w:r>
    </w:p>
    <w:p w14:paraId="34721F69">
      <w:pPr>
        <w:spacing w:line="360" w:lineRule="auto"/>
        <w:rPr>
          <w:rFonts w:ascii="Times New Roman" w:hAnsi="Times New Roman" w:cs="Times New Roman"/>
          <w:color w:val="auto"/>
          <w:sz w:val="24"/>
          <w:szCs w:val="28"/>
        </w:rPr>
      </w:pPr>
      <w:r>
        <w:rPr>
          <w:rFonts w:hint="eastAsia" w:ascii="Times New Roman" w:hAnsi="Times New Roman" w:cs="Times New Roman"/>
          <w:b/>
          <w:bCs/>
          <w:color w:val="auto"/>
          <w:sz w:val="24"/>
          <w:szCs w:val="28"/>
        </w:rPr>
        <w:t>Figure S3</w:t>
      </w:r>
      <w:r>
        <w:rPr>
          <w:rFonts w:hint="eastAsia" w:ascii="Times New Roman" w:hAnsi="Times New Roman" w:cs="Times New Roman"/>
          <w:b/>
          <w:bCs/>
          <w:color w:val="auto"/>
          <w:sz w:val="24"/>
          <w:szCs w:val="28"/>
          <w:lang w:val="en-US" w:eastAsia="zh-CN"/>
        </w:rPr>
        <w:t>3</w:t>
      </w:r>
      <w:r>
        <w:rPr>
          <w:rFonts w:hint="eastAsia" w:ascii="Times New Roman" w:hAnsi="Times New Roman" w:cs="Times New Roman"/>
          <w:color w:val="auto"/>
          <w:sz w:val="24"/>
          <w:szCs w:val="28"/>
        </w:rPr>
        <w:t>.</w:t>
      </w:r>
      <w:r>
        <w:rPr>
          <w:color w:val="auto"/>
          <w:sz w:val="24"/>
          <w:szCs w:val="28"/>
        </w:rPr>
        <w:t xml:space="preserve"> </w:t>
      </w:r>
      <w:r>
        <w:rPr>
          <w:rFonts w:hint="eastAsia" w:ascii="Times New Roman" w:hAnsi="Times New Roman" w:cs="Times New Roman"/>
          <w:color w:val="auto"/>
          <w:sz w:val="24"/>
          <w:szCs w:val="28"/>
        </w:rPr>
        <w:t>T</w:t>
      </w:r>
      <w:r>
        <w:rPr>
          <w:rFonts w:ascii="Times New Roman" w:hAnsi="Times New Roman" w:cs="Times New Roman"/>
          <w:color w:val="auto"/>
          <w:sz w:val="24"/>
          <w:szCs w:val="28"/>
        </w:rPr>
        <w:t xml:space="preserve">he </w:t>
      </w:r>
      <w:r>
        <w:rPr>
          <w:rFonts w:hint="eastAsia" w:ascii="Times New Roman" w:hAnsi="Times New Roman" w:cs="Times New Roman"/>
          <w:color w:val="auto"/>
          <w:sz w:val="24"/>
          <w:szCs w:val="28"/>
        </w:rPr>
        <w:t>EQE spectra of thick-film OSCs based on D18/eC9-4F system with or without HS method.</w:t>
      </w:r>
    </w:p>
    <w:p w14:paraId="192BD70A">
      <w:pPr>
        <w:spacing w:line="360" w:lineRule="auto"/>
        <w:jc w:val="center"/>
        <w:rPr>
          <w:rFonts w:ascii="Times New Roman" w:hAnsi="Times New Roman" w:cs="Times New Roman"/>
          <w:color w:val="auto"/>
          <w:sz w:val="24"/>
          <w:szCs w:val="28"/>
        </w:rPr>
      </w:pPr>
    </w:p>
    <w:p w14:paraId="41E55095">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274310" cy="7461250"/>
            <wp:effectExtent l="0" t="0" r="2540" b="6350"/>
            <wp:docPr id="1892471416" name="图片 1" descr="图示,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471416" name="图片 1" descr="图示, 文本&#10;&#10;AI 生成的内容可能不正确。"/>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274310" cy="7461250"/>
                    </a:xfrm>
                    <a:prstGeom prst="rect">
                      <a:avLst/>
                    </a:prstGeom>
                    <a:noFill/>
                    <a:ln>
                      <a:noFill/>
                    </a:ln>
                  </pic:spPr>
                </pic:pic>
              </a:graphicData>
            </a:graphic>
          </wp:inline>
        </w:drawing>
      </w:r>
    </w:p>
    <w:p w14:paraId="15513594">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274310" cy="7461250"/>
            <wp:effectExtent l="0" t="0" r="2540" b="6350"/>
            <wp:docPr id="646173863" name="图片 2"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73863" name="图片 2" descr="文本, 信件&#10;&#10;AI 生成的内容可能不正确。"/>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7461250"/>
                    </a:xfrm>
                    <a:prstGeom prst="rect">
                      <a:avLst/>
                    </a:prstGeom>
                    <a:noFill/>
                    <a:ln>
                      <a:noFill/>
                    </a:ln>
                  </pic:spPr>
                </pic:pic>
              </a:graphicData>
            </a:graphic>
          </wp:inline>
        </w:drawing>
      </w:r>
    </w:p>
    <w:p w14:paraId="6781333F">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274310" cy="7461250"/>
            <wp:effectExtent l="0" t="0" r="2540" b="6350"/>
            <wp:docPr id="1016283853" name="图片 3"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83853" name="图片 3" descr="文本&#10;&#10;AI 生成的内容可能不正确。"/>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74310" cy="7461250"/>
                    </a:xfrm>
                    <a:prstGeom prst="rect">
                      <a:avLst/>
                    </a:prstGeom>
                    <a:noFill/>
                    <a:ln>
                      <a:noFill/>
                    </a:ln>
                  </pic:spPr>
                </pic:pic>
              </a:graphicData>
            </a:graphic>
          </wp:inline>
        </w:drawing>
      </w:r>
    </w:p>
    <w:p w14:paraId="6297F8D6">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274310" cy="7461250"/>
            <wp:effectExtent l="0" t="0" r="2540" b="6350"/>
            <wp:docPr id="2002356970" name="图片 4" descr="图片包含 地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56970" name="图片 4" descr="图片包含 地图&#10;&#10;AI 生成的内容可能不正确。"/>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74310" cy="7461250"/>
                    </a:xfrm>
                    <a:prstGeom prst="rect">
                      <a:avLst/>
                    </a:prstGeom>
                    <a:noFill/>
                    <a:ln>
                      <a:noFill/>
                    </a:ln>
                  </pic:spPr>
                </pic:pic>
              </a:graphicData>
            </a:graphic>
          </wp:inline>
        </w:drawing>
      </w:r>
    </w:p>
    <w:p w14:paraId="7B321ABB">
      <w:pPr>
        <w:autoSpaceDE w:val="0"/>
        <w:autoSpaceDN w:val="0"/>
        <w:adjustRightInd w:val="0"/>
        <w:spacing w:line="360" w:lineRule="auto"/>
        <w:rPr>
          <w:rFonts w:ascii="Times New Roman" w:hAnsi="Times New Roman" w:cs="Times New Roman"/>
          <w:color w:val="auto"/>
          <w:kern w:val="0"/>
          <w:sz w:val="24"/>
          <w:szCs w:val="24"/>
        </w:rPr>
      </w:pPr>
      <w:r>
        <w:rPr>
          <w:color w:val="auto"/>
        </w:rPr>
        <w:drawing>
          <wp:inline distT="0" distB="0" distL="0" distR="0">
            <wp:extent cx="5274310" cy="7461250"/>
            <wp:effectExtent l="0" t="0" r="2540" b="6350"/>
            <wp:docPr id="423552833" name="图片 5"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552833" name="图片 5" descr="文本, 信件&#10;&#10;AI 生成的内容可能不正确。"/>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74310" cy="7461250"/>
                    </a:xfrm>
                    <a:prstGeom prst="rect">
                      <a:avLst/>
                    </a:prstGeom>
                    <a:noFill/>
                    <a:ln>
                      <a:noFill/>
                    </a:ln>
                  </pic:spPr>
                </pic:pic>
              </a:graphicData>
            </a:graphic>
          </wp:inline>
        </w:drawing>
      </w:r>
    </w:p>
    <w:p w14:paraId="4C3874D7">
      <w:pPr>
        <w:autoSpaceDE w:val="0"/>
        <w:autoSpaceDN w:val="0"/>
        <w:adjustRightInd w:val="0"/>
        <w:spacing w:line="360" w:lineRule="auto"/>
        <w:rPr>
          <w:rFonts w:ascii="Times New Roman" w:hAnsi="Times New Roman" w:cs="Times New Roman"/>
          <w:color w:val="auto"/>
          <w:kern w:val="0"/>
          <w:sz w:val="24"/>
          <w:szCs w:val="24"/>
        </w:rPr>
      </w:pPr>
      <w:r>
        <w:rPr>
          <w:rFonts w:hint="eastAsia" w:ascii="Times New Roman" w:hAnsi="Times New Roman" w:cs="Times New Roman"/>
          <w:b/>
          <w:bCs/>
          <w:color w:val="auto"/>
          <w:kern w:val="0"/>
          <w:sz w:val="24"/>
          <w:szCs w:val="24"/>
        </w:rPr>
        <w:t>Figure S3</w:t>
      </w:r>
      <w:r>
        <w:rPr>
          <w:rFonts w:hint="eastAsia" w:ascii="Times New Roman" w:hAnsi="Times New Roman" w:cs="Times New Roman"/>
          <w:b/>
          <w:bCs/>
          <w:color w:val="auto"/>
          <w:kern w:val="0"/>
          <w:sz w:val="24"/>
          <w:szCs w:val="24"/>
          <w:lang w:val="en-US" w:eastAsia="zh-CN"/>
        </w:rPr>
        <w:t>4</w:t>
      </w:r>
      <w:r>
        <w:rPr>
          <w:rFonts w:hint="eastAsia" w:ascii="Times New Roman" w:hAnsi="Times New Roman" w:cs="Times New Roman"/>
          <w:color w:val="auto"/>
          <w:kern w:val="0"/>
          <w:sz w:val="24"/>
          <w:szCs w:val="24"/>
        </w:rPr>
        <w:t>. Certificate of the D18 HS/L8-BO device issued by South China National Center of Metrology, China.</w:t>
      </w:r>
    </w:p>
    <w:p w14:paraId="2CE72E27">
      <w:pPr>
        <w:autoSpaceDE w:val="0"/>
        <w:autoSpaceDN w:val="0"/>
        <w:adjustRightInd w:val="0"/>
        <w:spacing w:line="360" w:lineRule="auto"/>
        <w:rPr>
          <w:rFonts w:ascii="Times New Roman" w:hAnsi="Times New Roman" w:cs="Times New Roman"/>
          <w:color w:val="auto"/>
          <w:kern w:val="0"/>
          <w:sz w:val="24"/>
          <w:szCs w:val="24"/>
        </w:rPr>
      </w:pPr>
    </w:p>
    <w:p w14:paraId="3BE26409">
      <w:pPr>
        <w:jc w:val="center"/>
        <w:rPr>
          <w:rFonts w:ascii="Times New Roman" w:hAnsi="Times New Roman" w:cs="Times New Roman"/>
          <w:color w:val="auto"/>
          <w:szCs w:val="21"/>
        </w:rPr>
      </w:pPr>
      <w:r>
        <w:rPr>
          <w:color w:val="auto"/>
        </w:rPr>
        <w:drawing>
          <wp:inline distT="0" distB="0" distL="0" distR="0">
            <wp:extent cx="5111750" cy="5642610"/>
            <wp:effectExtent l="0" t="0" r="6350" b="8890"/>
            <wp:docPr id="1939165624" name="图片 8" descr="日程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165624" name="图片 8" descr="日程表&#10;&#10;AI 生成的内容可能不正确。"/>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111750" cy="5642610"/>
                    </a:xfrm>
                    <a:prstGeom prst="rect">
                      <a:avLst/>
                    </a:prstGeom>
                    <a:noFill/>
                    <a:ln>
                      <a:noFill/>
                    </a:ln>
                  </pic:spPr>
                </pic:pic>
              </a:graphicData>
            </a:graphic>
          </wp:inline>
        </w:drawing>
      </w:r>
    </w:p>
    <w:p w14:paraId="77248D40">
      <w:pPr>
        <w:spacing w:line="360" w:lineRule="auto"/>
        <w:rPr>
          <w:rFonts w:ascii="Times New Roman" w:hAnsi="Times New Roman" w:cs="Times New Roman"/>
          <w:color w:val="auto"/>
          <w:sz w:val="24"/>
          <w:szCs w:val="24"/>
        </w:rPr>
      </w:pPr>
      <w:r>
        <w:rPr>
          <w:rFonts w:hint="eastAsia" w:ascii="Times New Roman" w:hAnsi="Times New Roman" w:cs="Times New Roman"/>
          <w:b/>
          <w:bCs/>
          <w:color w:val="auto"/>
          <w:sz w:val="24"/>
          <w:szCs w:val="24"/>
        </w:rPr>
        <w:t>Figure S3</w:t>
      </w:r>
      <w:r>
        <w:rPr>
          <w:rFonts w:hint="eastAsia" w:ascii="Times New Roman" w:hAnsi="Times New Roman" w:cs="Times New Roman"/>
          <w:b/>
          <w:bCs/>
          <w:color w:val="auto"/>
          <w:sz w:val="24"/>
          <w:szCs w:val="24"/>
          <w:lang w:val="en-US" w:eastAsia="zh-CN"/>
        </w:rPr>
        <w:t>5</w:t>
      </w:r>
      <w:r>
        <w:rPr>
          <w:rFonts w:hint="eastAsia" w:ascii="Times New Roman" w:hAnsi="Times New Roman" w:cs="Times New Roman"/>
          <w:color w:val="auto"/>
          <w:sz w:val="24"/>
          <w:szCs w:val="24"/>
        </w:rPr>
        <w:t>. Morphological evolution of D18/eC9 films deposited on (a, c) PEDOT:PSS and (b, d) 2PACZ layers, as characterized by (a, c) AFM height images and (b, d) corresponding phase images.</w:t>
      </w:r>
    </w:p>
    <w:p w14:paraId="504BC43D">
      <w:pPr>
        <w:autoSpaceDE w:val="0"/>
        <w:autoSpaceDN w:val="0"/>
        <w:adjustRightInd w:val="0"/>
        <w:spacing w:line="360" w:lineRule="auto"/>
        <w:rPr>
          <w:rFonts w:ascii="Times New Roman" w:hAnsi="Times New Roman" w:cs="Times New Roman"/>
          <w:color w:val="auto"/>
          <w:kern w:val="0"/>
          <w:sz w:val="24"/>
          <w:szCs w:val="24"/>
        </w:rPr>
      </w:pPr>
    </w:p>
    <w:p w14:paraId="05B438E5">
      <w:pPr>
        <w:spacing w:line="360" w:lineRule="auto"/>
        <w:rPr>
          <w:rFonts w:ascii="Times New Roman" w:hAnsi="Times New Roman" w:cs="Times New Roman"/>
          <w:color w:val="auto"/>
          <w:sz w:val="24"/>
          <w:szCs w:val="28"/>
        </w:rPr>
      </w:pPr>
    </w:p>
    <w:p w14:paraId="34CCC82D">
      <w:pPr>
        <w:spacing w:line="360" w:lineRule="auto"/>
        <w:rPr>
          <w:rFonts w:ascii="Times New Roman" w:hAnsi="Times New Roman" w:cs="Times New Roman"/>
          <w:color w:val="auto"/>
          <w:sz w:val="24"/>
          <w:szCs w:val="28"/>
        </w:rPr>
      </w:pPr>
    </w:p>
    <w:p w14:paraId="34AC54B3">
      <w:pPr>
        <w:spacing w:line="360" w:lineRule="auto"/>
        <w:rPr>
          <w:rFonts w:ascii="Times New Roman" w:hAnsi="Times New Roman" w:cs="Times New Roman"/>
          <w:b/>
          <w:bCs/>
          <w:color w:val="auto"/>
          <w:sz w:val="24"/>
          <w:szCs w:val="28"/>
        </w:rPr>
      </w:pPr>
      <w:r>
        <w:rPr>
          <w:rFonts w:hint="eastAsia" w:ascii="Times New Roman" w:hAnsi="Times New Roman" w:cs="Times New Roman"/>
          <w:b/>
          <w:bCs/>
          <w:color w:val="auto"/>
          <w:sz w:val="24"/>
          <w:szCs w:val="28"/>
        </w:rPr>
        <w:t>Reference</w:t>
      </w:r>
    </w:p>
    <w:p w14:paraId="01554BDF">
      <w:pPr>
        <w:spacing w:line="360" w:lineRule="auto"/>
        <w:rPr>
          <w:rFonts w:hint="eastAsia" w:ascii="Times New Roman" w:hAnsi="Times New Roman" w:cs="Times New Roman"/>
          <w:color w:val="auto"/>
          <w:sz w:val="24"/>
          <w:szCs w:val="28"/>
        </w:rPr>
      </w:pPr>
      <w:r>
        <w:rPr>
          <w:rFonts w:hint="eastAsia" w:ascii="Times New Roman" w:hAnsi="Times New Roman" w:cs="Times New Roman"/>
          <w:color w:val="auto"/>
          <w:sz w:val="24"/>
          <w:szCs w:val="28"/>
        </w:rPr>
        <w:t>[1]</w:t>
      </w:r>
      <w:r>
        <w:rPr>
          <w:rFonts w:hint="eastAsia"/>
          <w:color w:val="auto"/>
        </w:rPr>
        <w:t xml:space="preserve"> </w:t>
      </w:r>
      <w:r>
        <w:rPr>
          <w:rFonts w:hint="eastAsia" w:ascii="Times New Roman" w:hAnsi="Times New Roman" w:cs="Times New Roman"/>
          <w:color w:val="auto"/>
          <w:sz w:val="24"/>
          <w:szCs w:val="28"/>
        </w:rPr>
        <w:t xml:space="preserve">J. Tang, C. Liao, Y. Duan, X. Xu, M. Deng, L. Yu, R. Li, Q. Peng, Angew. Chem. Int. Ed. 2022, </w:t>
      </w:r>
      <w:r>
        <w:rPr>
          <w:rFonts w:hint="eastAsia" w:ascii="Times New Roman" w:hAnsi="Times New Roman" w:cs="Times New Roman"/>
          <w:color w:val="auto"/>
          <w:sz w:val="24"/>
          <w:szCs w:val="28"/>
          <w:lang w:val="en-US" w:eastAsia="zh-CN"/>
        </w:rPr>
        <w:t>134</w:t>
      </w:r>
      <w:r>
        <w:rPr>
          <w:rFonts w:hint="eastAsia" w:ascii="Times New Roman" w:hAnsi="Times New Roman" w:cs="Times New Roman"/>
          <w:color w:val="auto"/>
          <w:sz w:val="24"/>
          <w:szCs w:val="28"/>
        </w:rPr>
        <w:t>, e202213252.</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auto"/>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2"/>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62D6"/>
    <w:rsid w:val="00003846"/>
    <w:rsid w:val="00005240"/>
    <w:rsid w:val="00005BB2"/>
    <w:rsid w:val="0001185E"/>
    <w:rsid w:val="000338B1"/>
    <w:rsid w:val="000401DF"/>
    <w:rsid w:val="00061EC9"/>
    <w:rsid w:val="000624CC"/>
    <w:rsid w:val="00080217"/>
    <w:rsid w:val="00081739"/>
    <w:rsid w:val="00093B68"/>
    <w:rsid w:val="00097AED"/>
    <w:rsid w:val="000B1511"/>
    <w:rsid w:val="000C4162"/>
    <w:rsid w:val="000C4CC1"/>
    <w:rsid w:val="000C4CC3"/>
    <w:rsid w:val="000F289B"/>
    <w:rsid w:val="000F6C88"/>
    <w:rsid w:val="000F76FA"/>
    <w:rsid w:val="0010602C"/>
    <w:rsid w:val="00135635"/>
    <w:rsid w:val="00144B13"/>
    <w:rsid w:val="00152DD2"/>
    <w:rsid w:val="00154DE3"/>
    <w:rsid w:val="00166159"/>
    <w:rsid w:val="00166EE6"/>
    <w:rsid w:val="00171B02"/>
    <w:rsid w:val="00173C3B"/>
    <w:rsid w:val="001801A0"/>
    <w:rsid w:val="0018150C"/>
    <w:rsid w:val="00182949"/>
    <w:rsid w:val="00182E35"/>
    <w:rsid w:val="00187FA5"/>
    <w:rsid w:val="001A18F4"/>
    <w:rsid w:val="001A40CA"/>
    <w:rsid w:val="001B26A3"/>
    <w:rsid w:val="001B39A0"/>
    <w:rsid w:val="001C1976"/>
    <w:rsid w:val="001D0E6F"/>
    <w:rsid w:val="001D2DA2"/>
    <w:rsid w:val="001D31F7"/>
    <w:rsid w:val="00200BA4"/>
    <w:rsid w:val="00207A05"/>
    <w:rsid w:val="00215915"/>
    <w:rsid w:val="0021660B"/>
    <w:rsid w:val="00223C5F"/>
    <w:rsid w:val="002323E0"/>
    <w:rsid w:val="00242840"/>
    <w:rsid w:val="00242B67"/>
    <w:rsid w:val="00243D47"/>
    <w:rsid w:val="00250996"/>
    <w:rsid w:val="0025656C"/>
    <w:rsid w:val="00257B64"/>
    <w:rsid w:val="00260D72"/>
    <w:rsid w:val="00261248"/>
    <w:rsid w:val="00262BCD"/>
    <w:rsid w:val="00263E09"/>
    <w:rsid w:val="00267FE8"/>
    <w:rsid w:val="00271C98"/>
    <w:rsid w:val="002741A4"/>
    <w:rsid w:val="002747FC"/>
    <w:rsid w:val="00277AC3"/>
    <w:rsid w:val="00280AD6"/>
    <w:rsid w:val="00285CE8"/>
    <w:rsid w:val="002903A3"/>
    <w:rsid w:val="00291405"/>
    <w:rsid w:val="00295E85"/>
    <w:rsid w:val="002A19A9"/>
    <w:rsid w:val="002A30B7"/>
    <w:rsid w:val="002A5D52"/>
    <w:rsid w:val="002C1055"/>
    <w:rsid w:val="002C79DB"/>
    <w:rsid w:val="002D19EB"/>
    <w:rsid w:val="002E508A"/>
    <w:rsid w:val="002F34E6"/>
    <w:rsid w:val="00306063"/>
    <w:rsid w:val="0031292E"/>
    <w:rsid w:val="003146A6"/>
    <w:rsid w:val="003362D6"/>
    <w:rsid w:val="00337E9A"/>
    <w:rsid w:val="003519E7"/>
    <w:rsid w:val="00362D4A"/>
    <w:rsid w:val="00367222"/>
    <w:rsid w:val="0039013C"/>
    <w:rsid w:val="00391909"/>
    <w:rsid w:val="00391CA3"/>
    <w:rsid w:val="003C0FDB"/>
    <w:rsid w:val="003C206F"/>
    <w:rsid w:val="003D0003"/>
    <w:rsid w:val="003D4D7B"/>
    <w:rsid w:val="003E42DE"/>
    <w:rsid w:val="003F0FA2"/>
    <w:rsid w:val="003F7FC9"/>
    <w:rsid w:val="00441475"/>
    <w:rsid w:val="00452985"/>
    <w:rsid w:val="0045548F"/>
    <w:rsid w:val="0046569C"/>
    <w:rsid w:val="00466B69"/>
    <w:rsid w:val="004720E1"/>
    <w:rsid w:val="00472814"/>
    <w:rsid w:val="00482AD5"/>
    <w:rsid w:val="00496014"/>
    <w:rsid w:val="004A03E5"/>
    <w:rsid w:val="004B16CB"/>
    <w:rsid w:val="004B1B8E"/>
    <w:rsid w:val="004C56E8"/>
    <w:rsid w:val="004E3686"/>
    <w:rsid w:val="004F1240"/>
    <w:rsid w:val="00522A73"/>
    <w:rsid w:val="00527EAD"/>
    <w:rsid w:val="005401AE"/>
    <w:rsid w:val="00545468"/>
    <w:rsid w:val="00556E6B"/>
    <w:rsid w:val="00560BD2"/>
    <w:rsid w:val="00561616"/>
    <w:rsid w:val="005837E3"/>
    <w:rsid w:val="005850BA"/>
    <w:rsid w:val="00590E55"/>
    <w:rsid w:val="00592A30"/>
    <w:rsid w:val="00597228"/>
    <w:rsid w:val="005A6563"/>
    <w:rsid w:val="005B7666"/>
    <w:rsid w:val="005D297D"/>
    <w:rsid w:val="005D6144"/>
    <w:rsid w:val="005E2510"/>
    <w:rsid w:val="005F3CCB"/>
    <w:rsid w:val="005F4B8C"/>
    <w:rsid w:val="005F59EB"/>
    <w:rsid w:val="005F7554"/>
    <w:rsid w:val="006121B6"/>
    <w:rsid w:val="00624E55"/>
    <w:rsid w:val="006265E6"/>
    <w:rsid w:val="00630423"/>
    <w:rsid w:val="006454D9"/>
    <w:rsid w:val="0066253B"/>
    <w:rsid w:val="00666398"/>
    <w:rsid w:val="00670BBC"/>
    <w:rsid w:val="00671F78"/>
    <w:rsid w:val="00674980"/>
    <w:rsid w:val="00683127"/>
    <w:rsid w:val="00683F23"/>
    <w:rsid w:val="006863EE"/>
    <w:rsid w:val="00687237"/>
    <w:rsid w:val="00687DE6"/>
    <w:rsid w:val="00690402"/>
    <w:rsid w:val="00691B31"/>
    <w:rsid w:val="00696314"/>
    <w:rsid w:val="006A339C"/>
    <w:rsid w:val="006A7FB1"/>
    <w:rsid w:val="006B42F9"/>
    <w:rsid w:val="006B6C2C"/>
    <w:rsid w:val="006B78AD"/>
    <w:rsid w:val="006C3D2B"/>
    <w:rsid w:val="006D27FA"/>
    <w:rsid w:val="006D6C4A"/>
    <w:rsid w:val="006E43FD"/>
    <w:rsid w:val="006F1F06"/>
    <w:rsid w:val="007016E0"/>
    <w:rsid w:val="00721412"/>
    <w:rsid w:val="00726550"/>
    <w:rsid w:val="00727ABA"/>
    <w:rsid w:val="00731BC2"/>
    <w:rsid w:val="0073211E"/>
    <w:rsid w:val="00733230"/>
    <w:rsid w:val="00740BC0"/>
    <w:rsid w:val="007476EB"/>
    <w:rsid w:val="00750BC9"/>
    <w:rsid w:val="0075774F"/>
    <w:rsid w:val="00781045"/>
    <w:rsid w:val="0079072B"/>
    <w:rsid w:val="0079074D"/>
    <w:rsid w:val="007918C5"/>
    <w:rsid w:val="007975CA"/>
    <w:rsid w:val="007C6DE5"/>
    <w:rsid w:val="007D7F55"/>
    <w:rsid w:val="007E2686"/>
    <w:rsid w:val="007F440C"/>
    <w:rsid w:val="007F7116"/>
    <w:rsid w:val="007F7D78"/>
    <w:rsid w:val="00801A51"/>
    <w:rsid w:val="00837F6F"/>
    <w:rsid w:val="00841917"/>
    <w:rsid w:val="00842D13"/>
    <w:rsid w:val="00857759"/>
    <w:rsid w:val="00862136"/>
    <w:rsid w:val="00872DFA"/>
    <w:rsid w:val="00877511"/>
    <w:rsid w:val="00885F60"/>
    <w:rsid w:val="008A3BAC"/>
    <w:rsid w:val="008A3F1F"/>
    <w:rsid w:val="008A7BB7"/>
    <w:rsid w:val="008B7459"/>
    <w:rsid w:val="008E0C46"/>
    <w:rsid w:val="008E14FB"/>
    <w:rsid w:val="008E6C4B"/>
    <w:rsid w:val="00900B0C"/>
    <w:rsid w:val="00907D8F"/>
    <w:rsid w:val="0092064F"/>
    <w:rsid w:val="009236A0"/>
    <w:rsid w:val="009341A7"/>
    <w:rsid w:val="009407A8"/>
    <w:rsid w:val="00945B3E"/>
    <w:rsid w:val="009574C4"/>
    <w:rsid w:val="009712EC"/>
    <w:rsid w:val="0097417F"/>
    <w:rsid w:val="009774B6"/>
    <w:rsid w:val="009820AF"/>
    <w:rsid w:val="009843BA"/>
    <w:rsid w:val="00991DF5"/>
    <w:rsid w:val="009A0AA3"/>
    <w:rsid w:val="009A5C6C"/>
    <w:rsid w:val="009B5C2B"/>
    <w:rsid w:val="009C014B"/>
    <w:rsid w:val="009D6E1D"/>
    <w:rsid w:val="009D7856"/>
    <w:rsid w:val="009E5684"/>
    <w:rsid w:val="009F565F"/>
    <w:rsid w:val="00A03CB2"/>
    <w:rsid w:val="00A0562E"/>
    <w:rsid w:val="00A06940"/>
    <w:rsid w:val="00A07225"/>
    <w:rsid w:val="00A12B51"/>
    <w:rsid w:val="00A20E43"/>
    <w:rsid w:val="00A25068"/>
    <w:rsid w:val="00A33B74"/>
    <w:rsid w:val="00A3750A"/>
    <w:rsid w:val="00A41C37"/>
    <w:rsid w:val="00A44DF7"/>
    <w:rsid w:val="00A46452"/>
    <w:rsid w:val="00A574A8"/>
    <w:rsid w:val="00A60E87"/>
    <w:rsid w:val="00A62B15"/>
    <w:rsid w:val="00A6722D"/>
    <w:rsid w:val="00A758CF"/>
    <w:rsid w:val="00AA2673"/>
    <w:rsid w:val="00AB7E68"/>
    <w:rsid w:val="00AC028E"/>
    <w:rsid w:val="00AC0B12"/>
    <w:rsid w:val="00B0535F"/>
    <w:rsid w:val="00B071F3"/>
    <w:rsid w:val="00B14D1D"/>
    <w:rsid w:val="00B40BC0"/>
    <w:rsid w:val="00B41B3D"/>
    <w:rsid w:val="00B55504"/>
    <w:rsid w:val="00B57E86"/>
    <w:rsid w:val="00B67B8B"/>
    <w:rsid w:val="00B70331"/>
    <w:rsid w:val="00B7171D"/>
    <w:rsid w:val="00B72289"/>
    <w:rsid w:val="00BA4941"/>
    <w:rsid w:val="00BA5512"/>
    <w:rsid w:val="00BA72B1"/>
    <w:rsid w:val="00BB63D5"/>
    <w:rsid w:val="00BC0E37"/>
    <w:rsid w:val="00BD3354"/>
    <w:rsid w:val="00BD38E1"/>
    <w:rsid w:val="00BD7858"/>
    <w:rsid w:val="00BE5178"/>
    <w:rsid w:val="00BF1A9F"/>
    <w:rsid w:val="00BF1D70"/>
    <w:rsid w:val="00BF208C"/>
    <w:rsid w:val="00BF685A"/>
    <w:rsid w:val="00C040E9"/>
    <w:rsid w:val="00C06575"/>
    <w:rsid w:val="00C24BF0"/>
    <w:rsid w:val="00C3227F"/>
    <w:rsid w:val="00C4186C"/>
    <w:rsid w:val="00C42DBF"/>
    <w:rsid w:val="00CA1529"/>
    <w:rsid w:val="00CA267F"/>
    <w:rsid w:val="00CB16CD"/>
    <w:rsid w:val="00CB486A"/>
    <w:rsid w:val="00CB7CBF"/>
    <w:rsid w:val="00CC0A0F"/>
    <w:rsid w:val="00CC3CA8"/>
    <w:rsid w:val="00CC48B8"/>
    <w:rsid w:val="00CC4E53"/>
    <w:rsid w:val="00CC78E8"/>
    <w:rsid w:val="00CC7DEC"/>
    <w:rsid w:val="00CD35F5"/>
    <w:rsid w:val="00CD3E09"/>
    <w:rsid w:val="00CF0E25"/>
    <w:rsid w:val="00D0155C"/>
    <w:rsid w:val="00D17FC2"/>
    <w:rsid w:val="00D32D19"/>
    <w:rsid w:val="00D375FC"/>
    <w:rsid w:val="00D42751"/>
    <w:rsid w:val="00D45EA5"/>
    <w:rsid w:val="00D56546"/>
    <w:rsid w:val="00D65365"/>
    <w:rsid w:val="00D728F9"/>
    <w:rsid w:val="00D77192"/>
    <w:rsid w:val="00D80BE1"/>
    <w:rsid w:val="00D83B79"/>
    <w:rsid w:val="00D8451C"/>
    <w:rsid w:val="00DB1807"/>
    <w:rsid w:val="00DB2B92"/>
    <w:rsid w:val="00DB37F6"/>
    <w:rsid w:val="00DB5A48"/>
    <w:rsid w:val="00DB6B5E"/>
    <w:rsid w:val="00DD29FC"/>
    <w:rsid w:val="00DE26A7"/>
    <w:rsid w:val="00E005DA"/>
    <w:rsid w:val="00E05433"/>
    <w:rsid w:val="00E30FCB"/>
    <w:rsid w:val="00E500FE"/>
    <w:rsid w:val="00E65A7D"/>
    <w:rsid w:val="00E67471"/>
    <w:rsid w:val="00E70D25"/>
    <w:rsid w:val="00E9282E"/>
    <w:rsid w:val="00EA07AE"/>
    <w:rsid w:val="00EA3B83"/>
    <w:rsid w:val="00EA6049"/>
    <w:rsid w:val="00EC32EA"/>
    <w:rsid w:val="00EC62A1"/>
    <w:rsid w:val="00EC7EC7"/>
    <w:rsid w:val="00ED4124"/>
    <w:rsid w:val="00ED7BE2"/>
    <w:rsid w:val="00EE2EB3"/>
    <w:rsid w:val="00EF1228"/>
    <w:rsid w:val="00EF68C7"/>
    <w:rsid w:val="00F050CF"/>
    <w:rsid w:val="00F12CA3"/>
    <w:rsid w:val="00F21E75"/>
    <w:rsid w:val="00F347BD"/>
    <w:rsid w:val="00F35E0C"/>
    <w:rsid w:val="00F40A74"/>
    <w:rsid w:val="00F471C9"/>
    <w:rsid w:val="00F55E42"/>
    <w:rsid w:val="00F81767"/>
    <w:rsid w:val="00F85142"/>
    <w:rsid w:val="00F975AB"/>
    <w:rsid w:val="00F97D88"/>
    <w:rsid w:val="00FB74E7"/>
    <w:rsid w:val="00FC21DB"/>
    <w:rsid w:val="00FC6423"/>
    <w:rsid w:val="00FD6E3B"/>
    <w:rsid w:val="00FE0096"/>
    <w:rsid w:val="00FE01D5"/>
    <w:rsid w:val="00FE1414"/>
    <w:rsid w:val="00FF02D3"/>
    <w:rsid w:val="00FF63BB"/>
    <w:rsid w:val="06052EA8"/>
    <w:rsid w:val="06440D68"/>
    <w:rsid w:val="0E3966AF"/>
    <w:rsid w:val="0EEC54CF"/>
    <w:rsid w:val="0F6B0AEA"/>
    <w:rsid w:val="0FAC2EB1"/>
    <w:rsid w:val="141D612B"/>
    <w:rsid w:val="15A121C5"/>
    <w:rsid w:val="16EA2C3C"/>
    <w:rsid w:val="170F6AFE"/>
    <w:rsid w:val="17D2722C"/>
    <w:rsid w:val="184719C8"/>
    <w:rsid w:val="199155F1"/>
    <w:rsid w:val="1C872CDB"/>
    <w:rsid w:val="2048299E"/>
    <w:rsid w:val="20502A11"/>
    <w:rsid w:val="22236E4E"/>
    <w:rsid w:val="24763D61"/>
    <w:rsid w:val="27B64475"/>
    <w:rsid w:val="2964687E"/>
    <w:rsid w:val="2B02634F"/>
    <w:rsid w:val="2BDD46C6"/>
    <w:rsid w:val="2D485B6F"/>
    <w:rsid w:val="2EA17C2D"/>
    <w:rsid w:val="32C117CF"/>
    <w:rsid w:val="34536D8E"/>
    <w:rsid w:val="34DA5C46"/>
    <w:rsid w:val="38BE762D"/>
    <w:rsid w:val="3ABB27B2"/>
    <w:rsid w:val="3AF70BD4"/>
    <w:rsid w:val="3B1A6076"/>
    <w:rsid w:val="416C037F"/>
    <w:rsid w:val="41DE6599"/>
    <w:rsid w:val="41FB2309"/>
    <w:rsid w:val="43234C5C"/>
    <w:rsid w:val="48027536"/>
    <w:rsid w:val="49753D38"/>
    <w:rsid w:val="4A1E617D"/>
    <w:rsid w:val="4B897627"/>
    <w:rsid w:val="4D355CB8"/>
    <w:rsid w:val="4EA36C51"/>
    <w:rsid w:val="4F6C34E7"/>
    <w:rsid w:val="4FC6709B"/>
    <w:rsid w:val="4FEE1EAF"/>
    <w:rsid w:val="51764AF1"/>
    <w:rsid w:val="55200FFC"/>
    <w:rsid w:val="565371AF"/>
    <w:rsid w:val="5EAC1B52"/>
    <w:rsid w:val="5F1C0A86"/>
    <w:rsid w:val="60A56859"/>
    <w:rsid w:val="61BC02FE"/>
    <w:rsid w:val="684921C0"/>
    <w:rsid w:val="69E9754E"/>
    <w:rsid w:val="6B334E0C"/>
    <w:rsid w:val="700F1F41"/>
    <w:rsid w:val="71E075A8"/>
    <w:rsid w:val="773D55E5"/>
    <w:rsid w:val="78BE4504"/>
    <w:rsid w:val="7B0D4CF3"/>
    <w:rsid w:val="7C945CA8"/>
    <w:rsid w:val="7E775881"/>
    <w:rsid w:val="7ED56104"/>
    <w:rsid w:val="7F271055"/>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2"/>
    <w:autoRedefine/>
    <w:qFormat/>
    <w:uiPriority w:val="9"/>
    <w:pPr>
      <w:keepNext/>
      <w:widowControl/>
      <w:spacing w:before="240" w:after="60" w:line="360" w:lineRule="auto"/>
      <w:jc w:val="left"/>
      <w:outlineLvl w:val="0"/>
    </w:pPr>
    <w:rPr>
      <w:rFonts w:ascii="Times New Roman" w:hAnsi="Times New Roman" w:eastAsia="Times New Roman" w:cs="Times New Roman"/>
      <w:b/>
      <w:bCs/>
      <w:kern w:val="32"/>
      <w:sz w:val="24"/>
      <w:szCs w:val="32"/>
      <w:lang w:eastAsia="ja-JP"/>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25"/>
    <w:semiHidden/>
    <w:unhideWhenUsed/>
    <w:qFormat/>
    <w:uiPriority w:val="99"/>
    <w:pPr>
      <w:jc w:val="left"/>
    </w:pPr>
  </w:style>
  <w:style w:type="paragraph" w:styleId="4">
    <w:name w:val="footer"/>
    <w:basedOn w:val="1"/>
    <w:link w:val="15"/>
    <w:unhideWhenUsed/>
    <w:qFormat/>
    <w:uiPriority w:val="99"/>
    <w:pPr>
      <w:tabs>
        <w:tab w:val="center" w:pos="4153"/>
        <w:tab w:val="right" w:pos="8306"/>
      </w:tabs>
      <w:snapToGrid w:val="0"/>
      <w:jc w:val="left"/>
    </w:pPr>
    <w:rPr>
      <w:sz w:val="18"/>
      <w:szCs w:val="18"/>
    </w:rPr>
  </w:style>
  <w:style w:type="paragraph" w:styleId="5">
    <w:name w:val="header"/>
    <w:basedOn w:val="1"/>
    <w:link w:val="14"/>
    <w:unhideWhenUsed/>
    <w:qFormat/>
    <w:uiPriority w:val="99"/>
    <w:pPr>
      <w:tabs>
        <w:tab w:val="center" w:pos="4153"/>
        <w:tab w:val="right" w:pos="8306"/>
      </w:tabs>
      <w:snapToGrid w:val="0"/>
      <w:jc w:val="center"/>
    </w:pPr>
    <w:rPr>
      <w:sz w:val="18"/>
      <w:szCs w:val="18"/>
    </w:rPr>
  </w:style>
  <w:style w:type="paragraph" w:styleId="6">
    <w:name w:val="Subtitle"/>
    <w:basedOn w:val="1"/>
    <w:next w:val="1"/>
    <w:link w:val="18"/>
    <w:qFormat/>
    <w:uiPriority w:val="11"/>
    <w:pPr>
      <w:spacing w:before="240" w:after="60" w:line="312" w:lineRule="auto"/>
      <w:jc w:val="center"/>
      <w:outlineLvl w:val="1"/>
    </w:pPr>
    <w:rPr>
      <w:b/>
      <w:bCs/>
      <w:kern w:val="28"/>
      <w:sz w:val="32"/>
      <w:szCs w:val="32"/>
    </w:rPr>
  </w:style>
  <w:style w:type="paragraph" w:styleId="7">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8">
    <w:name w:val="annotation subject"/>
    <w:basedOn w:val="3"/>
    <w:next w:val="3"/>
    <w:link w:val="26"/>
    <w:semiHidden/>
    <w:unhideWhenUsed/>
    <w:qFormat/>
    <w:uiPriority w:val="99"/>
    <w:rPr>
      <w:b/>
      <w:bCs/>
    </w:rPr>
  </w:style>
  <w:style w:type="table" w:styleId="10">
    <w:name w:val="Table Grid"/>
    <w:basedOn w:val="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basedOn w:val="11"/>
    <w:unhideWhenUsed/>
    <w:qFormat/>
    <w:uiPriority w:val="99"/>
    <w:rPr>
      <w:color w:val="0563C1" w:themeColor="hyperlink"/>
      <w:u w:val="single"/>
      <w14:textFill>
        <w14:solidFill>
          <w14:schemeClr w14:val="hlink"/>
        </w14:solidFill>
      </w14:textFill>
    </w:rPr>
  </w:style>
  <w:style w:type="character" w:styleId="13">
    <w:name w:val="annotation reference"/>
    <w:basedOn w:val="11"/>
    <w:semiHidden/>
    <w:unhideWhenUsed/>
    <w:qFormat/>
    <w:uiPriority w:val="99"/>
    <w:rPr>
      <w:sz w:val="21"/>
      <w:szCs w:val="21"/>
    </w:rPr>
  </w:style>
  <w:style w:type="character" w:customStyle="1" w:styleId="14">
    <w:name w:val="页眉 字符"/>
    <w:basedOn w:val="11"/>
    <w:link w:val="5"/>
    <w:qFormat/>
    <w:uiPriority w:val="99"/>
    <w:rPr>
      <w:sz w:val="18"/>
      <w:szCs w:val="18"/>
    </w:rPr>
  </w:style>
  <w:style w:type="character" w:customStyle="1" w:styleId="15">
    <w:name w:val="页脚 字符"/>
    <w:basedOn w:val="11"/>
    <w:link w:val="4"/>
    <w:qFormat/>
    <w:uiPriority w:val="99"/>
    <w:rPr>
      <w:sz w:val="18"/>
      <w:szCs w:val="18"/>
    </w:rPr>
  </w:style>
  <w:style w:type="table" w:customStyle="1" w:styleId="16">
    <w:name w:val="网格型浅色1"/>
    <w:basedOn w:val="9"/>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17">
    <w:name w:val="Author List"/>
    <w:basedOn w:val="6"/>
    <w:next w:val="1"/>
    <w:qFormat/>
    <w:uiPriority w:val="1"/>
    <w:pPr>
      <w:widowControl/>
      <w:spacing w:after="240" w:line="240" w:lineRule="auto"/>
      <w:jc w:val="left"/>
      <w:outlineLvl w:val="9"/>
    </w:pPr>
    <w:rPr>
      <w:rFonts w:ascii="Times New Roman" w:hAnsi="Times New Roman" w:cs="Times New Roman"/>
      <w:bCs w:val="0"/>
      <w:kern w:val="0"/>
      <w:sz w:val="24"/>
      <w:szCs w:val="24"/>
      <w:lang w:eastAsia="en-US"/>
    </w:rPr>
  </w:style>
  <w:style w:type="character" w:customStyle="1" w:styleId="18">
    <w:name w:val="副标题 字符"/>
    <w:basedOn w:val="11"/>
    <w:link w:val="6"/>
    <w:qFormat/>
    <w:uiPriority w:val="11"/>
    <w:rPr>
      <w:b/>
      <w:bCs/>
      <w:kern w:val="28"/>
      <w:sz w:val="32"/>
      <w:szCs w:val="32"/>
    </w:rPr>
  </w:style>
  <w:style w:type="paragraph" w:styleId="19">
    <w:name w:val="No Spacing"/>
    <w:qFormat/>
    <w:uiPriority w:val="1"/>
    <w:pPr>
      <w:widowControl w:val="0"/>
      <w:tabs>
        <w:tab w:val="center" w:pos="4536"/>
        <w:tab w:val="left" w:pos="10490"/>
      </w:tabs>
      <w:spacing w:beforeLines="50" w:afterLines="50"/>
      <w:jc w:val="both"/>
    </w:pPr>
    <w:rPr>
      <w:rFonts w:ascii="Times New Roman" w:hAnsi="Times New Roman" w:eastAsia="宋体" w:cstheme="minorBidi"/>
      <w:kern w:val="2"/>
      <w:sz w:val="24"/>
      <w:szCs w:val="22"/>
      <w:lang w:val="en-US" w:eastAsia="zh-CN" w:bidi="ar-SA"/>
    </w:rPr>
  </w:style>
  <w:style w:type="paragraph" w:styleId="20">
    <w:name w:val="List Paragraph"/>
    <w:basedOn w:val="1"/>
    <w:qFormat/>
    <w:uiPriority w:val="34"/>
    <w:pPr>
      <w:widowControl/>
      <w:spacing w:after="160" w:line="259" w:lineRule="auto"/>
      <w:ind w:firstLine="420" w:firstLineChars="200"/>
      <w:jc w:val="left"/>
    </w:pPr>
    <w:rPr>
      <w:rFonts w:eastAsia="宋体"/>
      <w:kern w:val="0"/>
      <w:sz w:val="22"/>
      <w:lang w:val="en-SG" w:eastAsia="en-US"/>
    </w:rPr>
  </w:style>
  <w:style w:type="character" w:styleId="21">
    <w:name w:val="Placeholder Text"/>
    <w:basedOn w:val="11"/>
    <w:semiHidden/>
    <w:qFormat/>
    <w:uiPriority w:val="99"/>
    <w:rPr>
      <w:color w:val="666666"/>
    </w:rPr>
  </w:style>
  <w:style w:type="character" w:customStyle="1" w:styleId="22">
    <w:name w:val="标题 1 字符"/>
    <w:basedOn w:val="11"/>
    <w:link w:val="2"/>
    <w:qFormat/>
    <w:uiPriority w:val="9"/>
    <w:rPr>
      <w:rFonts w:ascii="Times New Roman" w:hAnsi="Times New Roman" w:eastAsia="Times New Roman" w:cs="Times New Roman"/>
      <w:b/>
      <w:bCs/>
      <w:kern w:val="32"/>
      <w:sz w:val="24"/>
      <w:szCs w:val="32"/>
      <w:lang w:eastAsia="ja-JP"/>
    </w:rPr>
  </w:style>
  <w:style w:type="character" w:customStyle="1" w:styleId="23">
    <w:name w:val="TA_Main_Text Char"/>
    <w:link w:val="24"/>
    <w:autoRedefine/>
    <w:qFormat/>
    <w:locked/>
    <w:uiPriority w:val="0"/>
    <w:rPr>
      <w:rFonts w:ascii="Times" w:hAnsi="Times" w:cs="Times"/>
      <w:sz w:val="24"/>
      <w:lang w:eastAsia="en-US"/>
    </w:rPr>
  </w:style>
  <w:style w:type="paragraph" w:customStyle="1" w:styleId="24">
    <w:name w:val="TA_Main_Text"/>
    <w:basedOn w:val="1"/>
    <w:link w:val="23"/>
    <w:qFormat/>
    <w:uiPriority w:val="0"/>
    <w:pPr>
      <w:widowControl/>
      <w:spacing w:beforeLines="100" w:after="100" w:line="360" w:lineRule="auto"/>
      <w:ind w:firstLine="480" w:firstLineChars="200"/>
      <w:jc w:val="left"/>
    </w:pPr>
    <w:rPr>
      <w:rFonts w:ascii="Times" w:hAnsi="Times" w:cs="Times"/>
      <w:sz w:val="24"/>
      <w:lang w:eastAsia="en-US"/>
    </w:rPr>
  </w:style>
  <w:style w:type="character" w:customStyle="1" w:styleId="25">
    <w:name w:val="批注文字 字符"/>
    <w:basedOn w:val="11"/>
    <w:link w:val="3"/>
    <w:semiHidden/>
    <w:qFormat/>
    <w:uiPriority w:val="99"/>
  </w:style>
  <w:style w:type="character" w:customStyle="1" w:styleId="26">
    <w:name w:val="批注主题 字符"/>
    <w:basedOn w:val="25"/>
    <w:link w:val="8"/>
    <w:semiHidden/>
    <w:qFormat/>
    <w:uiPriority w:val="99"/>
    <w:rPr>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3" Type="http://schemas.openxmlformats.org/officeDocument/2006/relationships/fontTable" Target="fontTable.xml"/><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jpe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pn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30</Pages>
  <Words>1421</Words>
  <Characters>8461</Characters>
  <Lines>603</Lines>
  <Paragraphs>294</Paragraphs>
  <TotalTime>0</TotalTime>
  <ScaleCrop>false</ScaleCrop>
  <LinksUpToDate>false</LinksUpToDate>
  <CharactersWithSpaces>9830</CharactersWithSpaces>
  <Application>WPS Office_12.1.0.22089_F1E327BC-269C-435d-A152-05C5408002CA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2025-05-13T02:57:00Z</dcterms:created>
  <dc:creator>YF Wang</dc:creator>
  <cp:lastModifiedBy>WYF</cp:lastModifiedBy>
  <dcterms:modified xsi:type="dcterms:W3CDTF">2025-08-16T09:22:49Z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eyJoZGlkIjoiOGUxYWMzYzM4ZGNiZjg4ODRhNjRjZjZhY2M4N2M2M2UiLCJ1c2VySWQiOiI0MTA2MDI1MzIifQ==</vt:lpwstr>
  </property>
  <property fmtid="{D5CDD505-2E9C-101B-9397-08002B2CF9AE}" pid="3" name="KSOProductBuildVer">
    <vt:lpwstr>2052-12.1.0.22089</vt:lpwstr>
  </property>
  <property fmtid="{D5CDD505-2E9C-101B-9397-08002B2CF9AE}" pid="4" name="ICV">
    <vt:lpwstr>6D8E8917B33D4BB5817BFEE20C9863C2_13</vt:lpwstr>
  </property>
</Properties>
</file>